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F97" w:rsidRPr="008F6747" w:rsidRDefault="00703F97" w:rsidP="00703F97">
      <w:pPr>
        <w:spacing w:line="276" w:lineRule="auto"/>
        <w:rPr>
          <w:b/>
          <w:bCs/>
          <w:color w:val="000000"/>
          <w:lang w:val="en-US"/>
        </w:rPr>
      </w:pPr>
      <w:bookmarkStart w:id="0" w:name="_GoBack"/>
      <w:bookmarkEnd w:id="0"/>
      <w:r w:rsidRPr="008F6747">
        <w:rPr>
          <w:b/>
          <w:bCs/>
          <w:color w:val="000000"/>
          <w:lang w:val="en-US"/>
        </w:rPr>
        <w:t>ŞİRKET/KURUM ADI</w:t>
      </w:r>
      <w:r w:rsidRPr="008F6747">
        <w:rPr>
          <w:b/>
          <w:bCs/>
          <w:color w:val="000000"/>
          <w:lang w:val="en-US"/>
        </w:rPr>
        <w:tab/>
        <w:t xml:space="preserve">: </w:t>
      </w:r>
    </w:p>
    <w:p w:rsidR="00703F97" w:rsidRPr="008F6747" w:rsidRDefault="00703F97" w:rsidP="00703F97">
      <w:pPr>
        <w:spacing w:line="276" w:lineRule="auto"/>
        <w:rPr>
          <w:b/>
          <w:bCs/>
          <w:color w:val="000000"/>
          <w:lang w:val="en-US"/>
        </w:rPr>
      </w:pPr>
      <w:r w:rsidRPr="008F6747">
        <w:rPr>
          <w:b/>
          <w:bCs/>
          <w:color w:val="000000"/>
          <w:lang w:val="en-US"/>
        </w:rPr>
        <w:t>İLETİŞİM BİLGİSİ</w:t>
      </w:r>
      <w:r w:rsidRPr="008F6747">
        <w:rPr>
          <w:b/>
          <w:bCs/>
          <w:color w:val="000000"/>
          <w:lang w:val="en-US"/>
        </w:rPr>
        <w:tab/>
      </w:r>
      <w:r w:rsidRPr="008F6747">
        <w:rPr>
          <w:b/>
          <w:bCs/>
          <w:color w:val="000000"/>
          <w:lang w:val="en-US"/>
        </w:rPr>
        <w:tab/>
        <w:t>:</w:t>
      </w:r>
    </w:p>
    <w:p w:rsidR="00703F97" w:rsidRPr="008F6747" w:rsidRDefault="00703F97" w:rsidP="00703F97">
      <w:pPr>
        <w:spacing w:line="276" w:lineRule="auto"/>
        <w:rPr>
          <w:b/>
          <w:bCs/>
          <w:color w:val="000000"/>
          <w:lang w:val="en-US"/>
        </w:rPr>
      </w:pPr>
      <w:r>
        <w:rPr>
          <w:b/>
          <w:bCs/>
          <w:color w:val="000000"/>
          <w:lang w:val="en-US"/>
        </w:rPr>
        <w:t xml:space="preserve">YETKİLİ </w:t>
      </w:r>
      <w:r w:rsidRPr="008F6747">
        <w:rPr>
          <w:b/>
          <w:bCs/>
          <w:color w:val="000000"/>
          <w:lang w:val="en-US"/>
        </w:rPr>
        <w:t xml:space="preserve">KİŞİ     </w:t>
      </w:r>
      <w:r w:rsidRPr="008F6747">
        <w:rPr>
          <w:b/>
          <w:bCs/>
          <w:color w:val="000000"/>
          <w:lang w:val="en-US"/>
        </w:rPr>
        <w:tab/>
      </w:r>
      <w:r w:rsidRPr="008F6747">
        <w:rPr>
          <w:b/>
          <w:bCs/>
          <w:color w:val="000000"/>
          <w:lang w:val="en-US"/>
        </w:rPr>
        <w:tab/>
        <w:t xml:space="preserve">: </w:t>
      </w:r>
    </w:p>
    <w:p w:rsidR="00703F97" w:rsidRPr="008F6747" w:rsidRDefault="00703F97" w:rsidP="00703F97">
      <w:pPr>
        <w:spacing w:line="276" w:lineRule="auto"/>
        <w:rPr>
          <w:b/>
          <w:bCs/>
          <w:color w:val="000000"/>
          <w:lang w:val="en-US"/>
        </w:rPr>
      </w:pPr>
      <w:r w:rsidRPr="008F6747">
        <w:rPr>
          <w:b/>
          <w:bCs/>
          <w:color w:val="000000"/>
          <w:lang w:val="en-US"/>
        </w:rPr>
        <w:t>TELEFON</w:t>
      </w:r>
      <w:r w:rsidRPr="008F6747">
        <w:rPr>
          <w:b/>
          <w:bCs/>
          <w:color w:val="000000"/>
          <w:lang w:val="en-US"/>
        </w:rPr>
        <w:tab/>
      </w:r>
      <w:r w:rsidRPr="008F6747">
        <w:rPr>
          <w:b/>
          <w:bCs/>
          <w:color w:val="000000"/>
          <w:lang w:val="en-US"/>
        </w:rPr>
        <w:tab/>
        <w:t xml:space="preserve">           </w:t>
      </w:r>
      <w:r w:rsidRPr="008F6747">
        <w:rPr>
          <w:b/>
          <w:bCs/>
          <w:color w:val="000000"/>
          <w:lang w:val="en-US"/>
        </w:rPr>
        <w:tab/>
        <w:t xml:space="preserve">: </w:t>
      </w:r>
    </w:p>
    <w:p w:rsidR="00703F97" w:rsidRDefault="00703F97" w:rsidP="00703F97">
      <w:pPr>
        <w:spacing w:line="276" w:lineRule="auto"/>
        <w:rPr>
          <w:b/>
          <w:bCs/>
          <w:color w:val="000000"/>
          <w:lang w:val="en-US"/>
        </w:rPr>
      </w:pPr>
      <w:r w:rsidRPr="008F6747">
        <w:rPr>
          <w:b/>
          <w:bCs/>
          <w:color w:val="000000"/>
          <w:lang w:val="en-US"/>
        </w:rPr>
        <w:t>E-POSTA</w:t>
      </w:r>
      <w:r w:rsidRPr="008F6747">
        <w:rPr>
          <w:b/>
          <w:bCs/>
          <w:color w:val="000000"/>
          <w:lang w:val="en-US"/>
        </w:rPr>
        <w:tab/>
        <w:t xml:space="preserve">            </w:t>
      </w:r>
      <w:r w:rsidRPr="008F6747">
        <w:rPr>
          <w:b/>
          <w:bCs/>
          <w:color w:val="000000"/>
          <w:lang w:val="en-US"/>
        </w:rPr>
        <w:tab/>
        <w:t xml:space="preserve">: </w:t>
      </w:r>
    </w:p>
    <w:p w:rsidR="00703F97" w:rsidRDefault="00703F97" w:rsidP="00703F97">
      <w:pPr>
        <w:spacing w:line="276" w:lineRule="auto"/>
        <w:rPr>
          <w:b/>
          <w:bCs/>
          <w:color w:val="000000"/>
          <w:lang w:val="en-US"/>
        </w:rPr>
      </w:pPr>
    </w:p>
    <w:p w:rsidR="00703F97" w:rsidRDefault="00703F97" w:rsidP="00703F97">
      <w:pPr>
        <w:spacing w:line="276" w:lineRule="auto"/>
        <w:jc w:val="center"/>
        <w:rPr>
          <w:b/>
        </w:rPr>
      </w:pPr>
      <w:r>
        <w:rPr>
          <w:b/>
        </w:rPr>
        <w:t>YEKA GES-2</w:t>
      </w:r>
      <w:r w:rsidRPr="008F6747">
        <w:rPr>
          <w:b/>
        </w:rPr>
        <w:t xml:space="preserve"> ŞARTNAME</w:t>
      </w:r>
      <w:r>
        <w:rPr>
          <w:b/>
        </w:rPr>
        <w:t xml:space="preserve">Sİ - </w:t>
      </w:r>
      <w:r w:rsidRPr="008F6747">
        <w:rPr>
          <w:b/>
        </w:rPr>
        <w:t>ÖZET BİLGİLER</w:t>
      </w:r>
    </w:p>
    <w:p w:rsidR="00703F97" w:rsidRPr="008F6747" w:rsidRDefault="00703F97" w:rsidP="00703F97">
      <w:pPr>
        <w:spacing w:line="276" w:lineRule="auto"/>
        <w:jc w:val="center"/>
        <w:rPr>
          <w:b/>
        </w:rPr>
      </w:pPr>
    </w:p>
    <w:tbl>
      <w:tblPr>
        <w:tblStyle w:val="TabloKlavuzu"/>
        <w:tblW w:w="0" w:type="auto"/>
        <w:tblLook w:val="04A0" w:firstRow="1" w:lastRow="0" w:firstColumn="1" w:lastColumn="0" w:noHBand="0" w:noVBand="1"/>
      </w:tblPr>
      <w:tblGrid>
        <w:gridCol w:w="8642"/>
        <w:gridCol w:w="5352"/>
      </w:tblGrid>
      <w:tr w:rsidR="00703F97" w:rsidTr="00703F97">
        <w:tc>
          <w:tcPr>
            <w:tcW w:w="8642" w:type="dxa"/>
          </w:tcPr>
          <w:p w:rsidR="004D305F" w:rsidRDefault="004D305F" w:rsidP="00703F97">
            <w:pPr>
              <w:spacing w:line="276" w:lineRule="auto"/>
              <w:jc w:val="center"/>
              <w:rPr>
                <w:b/>
                <w:bCs/>
              </w:rPr>
            </w:pPr>
          </w:p>
          <w:p w:rsidR="004D305F" w:rsidRDefault="00703F97" w:rsidP="004D305F">
            <w:pPr>
              <w:spacing w:line="276" w:lineRule="auto"/>
              <w:jc w:val="center"/>
              <w:rPr>
                <w:b/>
                <w:bCs/>
              </w:rPr>
            </w:pPr>
            <w:r>
              <w:rPr>
                <w:b/>
                <w:bCs/>
              </w:rPr>
              <w:t>ŞARTNAME MADDESİ (Taslak)</w:t>
            </w:r>
          </w:p>
          <w:p w:rsidR="004D305F" w:rsidRPr="00703F97" w:rsidRDefault="004D305F" w:rsidP="00703F97">
            <w:pPr>
              <w:spacing w:line="276" w:lineRule="auto"/>
              <w:jc w:val="center"/>
              <w:rPr>
                <w:b/>
                <w:bCs/>
              </w:rPr>
            </w:pPr>
          </w:p>
        </w:tc>
        <w:tc>
          <w:tcPr>
            <w:tcW w:w="5352" w:type="dxa"/>
          </w:tcPr>
          <w:p w:rsidR="004D305F" w:rsidRDefault="004D305F" w:rsidP="00703F97">
            <w:pPr>
              <w:spacing w:line="276" w:lineRule="auto"/>
              <w:jc w:val="center"/>
              <w:rPr>
                <w:b/>
                <w:bCs/>
              </w:rPr>
            </w:pPr>
          </w:p>
          <w:p w:rsidR="00703F97" w:rsidRDefault="00703F97" w:rsidP="00703F97">
            <w:pPr>
              <w:spacing w:line="276" w:lineRule="auto"/>
              <w:jc w:val="center"/>
              <w:rPr>
                <w:b/>
                <w:bCs/>
                <w:color w:val="000000"/>
                <w:lang w:val="en-US"/>
              </w:rPr>
            </w:pPr>
            <w:r>
              <w:rPr>
                <w:b/>
                <w:bCs/>
              </w:rPr>
              <w:t>GÖRÜŞ / ÖNERİ</w:t>
            </w:r>
          </w:p>
        </w:tc>
      </w:tr>
      <w:tr w:rsidR="00703F97" w:rsidTr="00703F97">
        <w:tc>
          <w:tcPr>
            <w:tcW w:w="8642" w:type="dxa"/>
          </w:tcPr>
          <w:p w:rsidR="00703F97" w:rsidRPr="008F6747" w:rsidRDefault="00703F97" w:rsidP="00703F97">
            <w:pPr>
              <w:spacing w:line="276" w:lineRule="auto"/>
              <w:rPr>
                <w:bCs/>
                <w:u w:val="single"/>
              </w:rPr>
            </w:pPr>
            <w:r w:rsidRPr="008F6747">
              <w:rPr>
                <w:b/>
                <w:bCs/>
                <w:u w:val="single"/>
              </w:rPr>
              <w:t xml:space="preserve">Toplam </w:t>
            </w:r>
            <w:r>
              <w:rPr>
                <w:b/>
                <w:bCs/>
                <w:u w:val="single"/>
              </w:rPr>
              <w:t xml:space="preserve">bağlantı </w:t>
            </w:r>
            <w:r w:rsidRPr="008F6747">
              <w:rPr>
                <w:b/>
                <w:bCs/>
                <w:u w:val="single"/>
              </w:rPr>
              <w:t>kapasite</w:t>
            </w:r>
            <w:r>
              <w:rPr>
                <w:b/>
                <w:bCs/>
                <w:u w:val="single"/>
              </w:rPr>
              <w:t>si</w:t>
            </w:r>
            <w:r w:rsidRPr="008F6747">
              <w:rPr>
                <w:bCs/>
                <w:u w:val="single"/>
              </w:rPr>
              <w:t>:</w:t>
            </w:r>
          </w:p>
          <w:p w:rsidR="00703F97" w:rsidRPr="008F6747" w:rsidRDefault="00703F97" w:rsidP="00703F97">
            <w:pPr>
              <w:spacing w:line="276" w:lineRule="auto"/>
              <w:rPr>
                <w:bCs/>
              </w:rPr>
            </w:pPr>
          </w:p>
          <w:p w:rsidR="00703F97" w:rsidRPr="008F6747" w:rsidRDefault="00703F97" w:rsidP="00703F97">
            <w:pPr>
              <w:suppressAutoHyphens/>
              <w:spacing w:line="276" w:lineRule="auto"/>
              <w:jc w:val="both"/>
            </w:pPr>
            <w:r w:rsidRPr="008F6747">
              <w:t xml:space="preserve">Toplam Bağlantı Kapasitesi 1000 </w:t>
            </w:r>
            <w:proofErr w:type="spellStart"/>
            <w:r w:rsidRPr="008F6747">
              <w:t>MWe</w:t>
            </w:r>
            <w:proofErr w:type="spellEnd"/>
            <w:r w:rsidRPr="008F6747">
              <w:t xml:space="preserve"> olup </w:t>
            </w:r>
            <w:r w:rsidRPr="008F6747">
              <w:rPr>
                <w:b/>
              </w:rPr>
              <w:t>500 (</w:t>
            </w:r>
            <w:proofErr w:type="spellStart"/>
            <w:r w:rsidRPr="008F6747">
              <w:rPr>
                <w:b/>
              </w:rPr>
              <w:t>beşyüz</w:t>
            </w:r>
            <w:proofErr w:type="spellEnd"/>
            <w:r w:rsidRPr="008F6747">
              <w:rPr>
                <w:b/>
              </w:rPr>
              <w:t xml:space="preserve">) </w:t>
            </w:r>
            <w:proofErr w:type="spellStart"/>
            <w:r w:rsidRPr="008F6747">
              <w:rPr>
                <w:b/>
              </w:rPr>
              <w:t>MWe</w:t>
            </w:r>
            <w:r w:rsidRPr="008F6747">
              <w:t>’ı</w:t>
            </w:r>
            <w:proofErr w:type="spellEnd"/>
            <w:r w:rsidRPr="008F6747">
              <w:t xml:space="preserve"> Şanlıurfa-Viranşehir </w:t>
            </w:r>
            <w:proofErr w:type="spellStart"/>
            <w:r w:rsidRPr="008F6747">
              <w:t>YEKA’da</w:t>
            </w:r>
            <w:proofErr w:type="spellEnd"/>
            <w:r w:rsidRPr="008F6747">
              <w:t xml:space="preserve">, </w:t>
            </w:r>
            <w:r w:rsidRPr="008F6747">
              <w:rPr>
                <w:b/>
              </w:rPr>
              <w:t>200 (</w:t>
            </w:r>
            <w:proofErr w:type="spellStart"/>
            <w:r w:rsidRPr="008F6747">
              <w:rPr>
                <w:b/>
              </w:rPr>
              <w:t>ikiyüz</w:t>
            </w:r>
            <w:proofErr w:type="spellEnd"/>
            <w:r w:rsidRPr="008F6747">
              <w:rPr>
                <w:b/>
              </w:rPr>
              <w:t xml:space="preserve">) </w:t>
            </w:r>
            <w:proofErr w:type="spellStart"/>
            <w:r w:rsidRPr="008F6747">
              <w:rPr>
                <w:b/>
              </w:rPr>
              <w:t>MWe</w:t>
            </w:r>
            <w:r w:rsidRPr="008F6747">
              <w:t>’ı</w:t>
            </w:r>
            <w:proofErr w:type="spellEnd"/>
            <w:r w:rsidRPr="008F6747">
              <w:t xml:space="preserve"> Hatay-Erzin </w:t>
            </w:r>
            <w:proofErr w:type="spellStart"/>
            <w:r w:rsidRPr="008F6747">
              <w:t>YEKA’da</w:t>
            </w:r>
            <w:proofErr w:type="spellEnd"/>
            <w:r w:rsidRPr="008F6747">
              <w:t xml:space="preserve"> ve </w:t>
            </w:r>
            <w:r w:rsidRPr="008F6747">
              <w:rPr>
                <w:b/>
              </w:rPr>
              <w:t>300 (</w:t>
            </w:r>
            <w:proofErr w:type="spellStart"/>
            <w:r w:rsidRPr="008F6747">
              <w:rPr>
                <w:b/>
              </w:rPr>
              <w:t>üçyüz</w:t>
            </w:r>
            <w:proofErr w:type="spellEnd"/>
            <w:r w:rsidRPr="008F6747">
              <w:rPr>
                <w:b/>
              </w:rPr>
              <w:t xml:space="preserve">) </w:t>
            </w:r>
            <w:proofErr w:type="spellStart"/>
            <w:r w:rsidRPr="008F6747">
              <w:rPr>
                <w:b/>
              </w:rPr>
              <w:t>MWe</w:t>
            </w:r>
            <w:r w:rsidRPr="008F6747">
              <w:t>’ı</w:t>
            </w:r>
            <w:proofErr w:type="spellEnd"/>
            <w:r w:rsidRPr="008F6747">
              <w:t xml:space="preserve"> ise Niğde-Bor </w:t>
            </w:r>
            <w:proofErr w:type="spellStart"/>
            <w:r w:rsidRPr="008F6747">
              <w:t>YEKA’da</w:t>
            </w:r>
            <w:proofErr w:type="spellEnd"/>
            <w:r w:rsidRPr="008F6747">
              <w:t xml:space="preserve"> olacak şekilde tek bir yarışma ile </w:t>
            </w:r>
            <w:r w:rsidR="0075488A">
              <w:t xml:space="preserve">Bağlantı Kapasitesi </w:t>
            </w:r>
            <w:r w:rsidRPr="008F6747">
              <w:t>tahsis</w:t>
            </w:r>
            <w:r w:rsidR="0075488A">
              <w:t>i</w:t>
            </w:r>
            <w:r w:rsidRPr="008F6747">
              <w:t xml:space="preserve"> gerçekleştirilecektir.</w:t>
            </w:r>
          </w:p>
          <w:p w:rsidR="00703F97" w:rsidRDefault="00703F97" w:rsidP="00703F97">
            <w:pPr>
              <w:spacing w:line="276" w:lineRule="auto"/>
              <w:rPr>
                <w:b/>
                <w:bCs/>
                <w:color w:val="000000"/>
                <w:lang w:val="en-US"/>
              </w:rPr>
            </w:pPr>
          </w:p>
        </w:tc>
        <w:tc>
          <w:tcPr>
            <w:tcW w:w="5352" w:type="dxa"/>
          </w:tcPr>
          <w:p w:rsidR="00703F97" w:rsidRDefault="00703F97" w:rsidP="00703F97">
            <w:pPr>
              <w:spacing w:line="276" w:lineRule="auto"/>
              <w:rPr>
                <w:b/>
                <w:bCs/>
                <w:color w:val="000000"/>
                <w:lang w:val="en-US"/>
              </w:rPr>
            </w:pPr>
          </w:p>
        </w:tc>
      </w:tr>
      <w:tr w:rsidR="00703F97" w:rsidTr="00703F97">
        <w:tc>
          <w:tcPr>
            <w:tcW w:w="8642" w:type="dxa"/>
          </w:tcPr>
          <w:p w:rsidR="00703F97" w:rsidRDefault="00703F97" w:rsidP="00703F97">
            <w:pPr>
              <w:pStyle w:val="ListeParagraf"/>
              <w:ind w:left="0"/>
              <w:jc w:val="both"/>
              <w:rPr>
                <w:rFonts w:ascii="Times New Roman" w:hAnsi="Times New Roman" w:cs="Times New Roman"/>
                <w:bCs/>
                <w:sz w:val="24"/>
                <w:szCs w:val="24"/>
              </w:rPr>
            </w:pPr>
            <w:r w:rsidRPr="00701BE5">
              <w:rPr>
                <w:rFonts w:ascii="Times New Roman" w:hAnsi="Times New Roman" w:cs="Times New Roman"/>
                <w:b/>
                <w:bCs/>
                <w:sz w:val="24"/>
                <w:szCs w:val="24"/>
                <w:u w:val="single"/>
              </w:rPr>
              <w:t>Süreler</w:t>
            </w:r>
            <w:r w:rsidRPr="00701BE5">
              <w:rPr>
                <w:rFonts w:ascii="Times New Roman" w:hAnsi="Times New Roman" w:cs="Times New Roman"/>
                <w:b/>
                <w:bCs/>
                <w:sz w:val="24"/>
                <w:szCs w:val="24"/>
              </w:rPr>
              <w:t>:</w:t>
            </w:r>
            <w:r w:rsidRPr="00701BE5">
              <w:rPr>
                <w:rFonts w:ascii="Times New Roman" w:hAnsi="Times New Roman" w:cs="Times New Roman"/>
                <w:bCs/>
                <w:sz w:val="24"/>
                <w:szCs w:val="24"/>
              </w:rPr>
              <w:t xml:space="preserve"> </w:t>
            </w:r>
          </w:p>
          <w:p w:rsidR="0075488A" w:rsidRPr="00083728" w:rsidRDefault="0075488A" w:rsidP="00703F97">
            <w:pPr>
              <w:pStyle w:val="ListeParagraf"/>
              <w:ind w:left="0"/>
              <w:jc w:val="both"/>
              <w:rPr>
                <w:rFonts w:ascii="Times New Roman" w:hAnsi="Times New Roman" w:cs="Times New Roman"/>
                <w:bCs/>
                <w:sz w:val="24"/>
                <w:szCs w:val="24"/>
              </w:rPr>
            </w:pPr>
            <w:r w:rsidRPr="00083728">
              <w:rPr>
                <w:rFonts w:ascii="Times New Roman" w:hAnsi="Times New Roman" w:cs="Times New Roman"/>
                <w:bCs/>
                <w:sz w:val="24"/>
                <w:szCs w:val="24"/>
              </w:rPr>
              <w:t xml:space="preserve">Alım Süresi: </w:t>
            </w:r>
            <w:r w:rsidRPr="00D31CFB">
              <w:rPr>
                <w:rFonts w:ascii="Times New Roman" w:hAnsi="Times New Roman" w:cs="Times New Roman"/>
              </w:rPr>
              <w:t xml:space="preserve">Sözleşmenin imzalanmasından itibaren </w:t>
            </w:r>
            <w:r w:rsidRPr="00D31CFB">
              <w:rPr>
                <w:rFonts w:ascii="Times New Roman" w:hAnsi="Times New Roman" w:cs="Times New Roman"/>
                <w:b/>
              </w:rPr>
              <w:t>15 (</w:t>
            </w:r>
            <w:proofErr w:type="spellStart"/>
            <w:r w:rsidRPr="00D31CFB">
              <w:rPr>
                <w:rFonts w:ascii="Times New Roman" w:hAnsi="Times New Roman" w:cs="Times New Roman"/>
                <w:b/>
              </w:rPr>
              <w:t>onbeş</w:t>
            </w:r>
            <w:proofErr w:type="spellEnd"/>
            <w:r w:rsidRPr="00D31CFB">
              <w:rPr>
                <w:rFonts w:ascii="Times New Roman" w:hAnsi="Times New Roman" w:cs="Times New Roman"/>
                <w:b/>
              </w:rPr>
              <w:t>)</w:t>
            </w:r>
            <w:r w:rsidRPr="00D31CFB">
              <w:rPr>
                <w:rFonts w:ascii="Times New Roman" w:hAnsi="Times New Roman" w:cs="Times New Roman"/>
              </w:rPr>
              <w:t xml:space="preserve"> yıldır.</w:t>
            </w:r>
          </w:p>
          <w:p w:rsidR="0075488A" w:rsidRPr="00083728" w:rsidRDefault="0075488A" w:rsidP="00BD15E9">
            <w:pPr>
              <w:spacing w:line="276" w:lineRule="auto"/>
              <w:jc w:val="both"/>
              <w:rPr>
                <w:bCs/>
              </w:rPr>
            </w:pPr>
            <w:r w:rsidRPr="00083728">
              <w:t>Ku</w:t>
            </w:r>
            <w:r w:rsidR="00083728">
              <w:t>r</w:t>
            </w:r>
            <w:r w:rsidRPr="00083728">
              <w:t xml:space="preserve">ulum Süresi: </w:t>
            </w:r>
            <w:r w:rsidR="00703F97" w:rsidRPr="00083728">
              <w:t xml:space="preserve">Sözleşmenin imzalanmasından itibaren </w:t>
            </w:r>
            <w:r w:rsidR="00703F97" w:rsidRPr="00083728">
              <w:rPr>
                <w:b/>
              </w:rPr>
              <w:t>24üncü (</w:t>
            </w:r>
            <w:proofErr w:type="spellStart"/>
            <w:r w:rsidR="00703F97" w:rsidRPr="00083728">
              <w:rPr>
                <w:b/>
              </w:rPr>
              <w:t>yirmidördüncü</w:t>
            </w:r>
            <w:proofErr w:type="spellEnd"/>
            <w:r w:rsidR="00703F97" w:rsidRPr="00083728">
              <w:rPr>
                <w:b/>
              </w:rPr>
              <w:t xml:space="preserve">) </w:t>
            </w:r>
            <w:r w:rsidR="00703F97" w:rsidRPr="00083728">
              <w:t xml:space="preserve">ayın sonuna kadar tüm </w:t>
            </w:r>
            <w:proofErr w:type="spellStart"/>
            <w:r w:rsidR="00703F97" w:rsidRPr="00083728">
              <w:t>GES’lerin</w:t>
            </w:r>
            <w:proofErr w:type="spellEnd"/>
            <w:r w:rsidR="00703F97" w:rsidRPr="00083728">
              <w:t xml:space="preserve"> kurulumuna başlanılır ve en geç </w:t>
            </w:r>
            <w:r w:rsidR="00703F97" w:rsidRPr="00083728">
              <w:rPr>
                <w:b/>
              </w:rPr>
              <w:t>60ıncı (altmışıncı)</w:t>
            </w:r>
            <w:r w:rsidR="00703F97" w:rsidRPr="00083728">
              <w:t xml:space="preserve"> ayın sonunda </w:t>
            </w:r>
            <w:proofErr w:type="spellStart"/>
            <w:r w:rsidR="00703F97" w:rsidRPr="00083728">
              <w:t>GES’lerin</w:t>
            </w:r>
            <w:proofErr w:type="spellEnd"/>
            <w:r w:rsidR="00703F97" w:rsidRPr="00083728">
              <w:t xml:space="preserve"> tamamı devreye alınır.</w:t>
            </w:r>
            <w:r w:rsidR="00703F97" w:rsidRPr="00083728">
              <w:rPr>
                <w:bCs/>
              </w:rPr>
              <w:t xml:space="preserve"> </w:t>
            </w:r>
          </w:p>
          <w:p w:rsidR="00703F97" w:rsidRPr="00083728" w:rsidRDefault="00703F97" w:rsidP="00BD15E9">
            <w:pPr>
              <w:spacing w:line="276" w:lineRule="auto"/>
              <w:jc w:val="both"/>
            </w:pPr>
            <w:r w:rsidRPr="00083728">
              <w:t>Lisansı süresi</w:t>
            </w:r>
            <w:r w:rsidR="0075488A" w:rsidRPr="00083728">
              <w:t>:</w:t>
            </w:r>
            <w:r w:rsidRPr="00083728">
              <w:t xml:space="preserve"> Sözleşmenin imzalanma tarihinden itibaren </w:t>
            </w:r>
            <w:r w:rsidRPr="00083728">
              <w:rPr>
                <w:b/>
              </w:rPr>
              <w:t>30 (otuz)</w:t>
            </w:r>
            <w:r w:rsidRPr="00083728">
              <w:t xml:space="preserve"> yıldır.</w:t>
            </w:r>
          </w:p>
          <w:p w:rsidR="0075488A" w:rsidRPr="00083728" w:rsidRDefault="0075488A" w:rsidP="00BD15E9">
            <w:pPr>
              <w:spacing w:line="276" w:lineRule="auto"/>
              <w:jc w:val="both"/>
            </w:pPr>
            <w:r w:rsidRPr="00083728">
              <w:t>Yarışma başvurularının alınma tarihi: Ocak ayı son haftası</w:t>
            </w:r>
          </w:p>
          <w:p w:rsidR="00703F97" w:rsidRDefault="00703F97" w:rsidP="00703F97">
            <w:pPr>
              <w:spacing w:line="276" w:lineRule="auto"/>
              <w:rPr>
                <w:b/>
                <w:bCs/>
                <w:color w:val="000000"/>
                <w:lang w:val="en-US"/>
              </w:rPr>
            </w:pPr>
          </w:p>
        </w:tc>
        <w:tc>
          <w:tcPr>
            <w:tcW w:w="5352" w:type="dxa"/>
          </w:tcPr>
          <w:p w:rsidR="00703F97" w:rsidRDefault="00703F97" w:rsidP="00703F97">
            <w:pPr>
              <w:spacing w:line="276" w:lineRule="auto"/>
              <w:rPr>
                <w:b/>
                <w:bCs/>
                <w:color w:val="000000"/>
                <w:lang w:val="en-US"/>
              </w:rPr>
            </w:pPr>
          </w:p>
        </w:tc>
      </w:tr>
      <w:tr w:rsidR="00703F97" w:rsidTr="00703F97">
        <w:tc>
          <w:tcPr>
            <w:tcW w:w="8642" w:type="dxa"/>
          </w:tcPr>
          <w:p w:rsidR="00703F97" w:rsidRPr="008F6747" w:rsidRDefault="00703F97" w:rsidP="00703F97">
            <w:pPr>
              <w:pStyle w:val="ListeParagraf"/>
              <w:ind w:left="0"/>
              <w:jc w:val="both"/>
              <w:rPr>
                <w:rFonts w:ascii="Times New Roman" w:hAnsi="Times New Roman" w:cs="Times New Roman"/>
                <w:sz w:val="24"/>
                <w:szCs w:val="24"/>
                <w:u w:val="single"/>
              </w:rPr>
            </w:pPr>
            <w:r w:rsidRPr="008F6747">
              <w:rPr>
                <w:rFonts w:ascii="Times New Roman" w:hAnsi="Times New Roman" w:cs="Times New Roman"/>
                <w:b/>
                <w:sz w:val="24"/>
                <w:szCs w:val="24"/>
                <w:u w:val="single"/>
              </w:rPr>
              <w:lastRenderedPageBreak/>
              <w:t>Bağlantı kapasitesi tahsisi yarışması yöntemi:</w:t>
            </w:r>
            <w:r w:rsidRPr="008F6747">
              <w:rPr>
                <w:rFonts w:ascii="Times New Roman" w:hAnsi="Times New Roman" w:cs="Times New Roman"/>
                <w:sz w:val="24"/>
                <w:szCs w:val="24"/>
                <w:u w:val="single"/>
              </w:rPr>
              <w:t xml:space="preserve"> </w:t>
            </w:r>
          </w:p>
          <w:p w:rsidR="00703F97" w:rsidRPr="00701BE5" w:rsidRDefault="00703F97" w:rsidP="00703F97">
            <w:pPr>
              <w:pStyle w:val="ListeParagraf"/>
              <w:spacing w:after="0"/>
              <w:ind w:left="0"/>
              <w:jc w:val="both"/>
              <w:rPr>
                <w:rFonts w:ascii="Times New Roman" w:hAnsi="Times New Roman" w:cs="Times New Roman"/>
                <w:b/>
                <w:bCs/>
                <w:sz w:val="24"/>
                <w:szCs w:val="24"/>
                <w:u w:val="single"/>
              </w:rPr>
            </w:pPr>
            <w:r w:rsidRPr="008F6747">
              <w:rPr>
                <w:rFonts w:ascii="Times New Roman" w:hAnsi="Times New Roman" w:cs="Times New Roman"/>
                <w:sz w:val="24"/>
                <w:szCs w:val="24"/>
              </w:rPr>
              <w:t>Yerli Malı Kullanım Karşılığı Tahsis (YMKT) yöntemi uygulanır.</w:t>
            </w:r>
          </w:p>
        </w:tc>
        <w:tc>
          <w:tcPr>
            <w:tcW w:w="5352" w:type="dxa"/>
          </w:tcPr>
          <w:p w:rsidR="00703F97" w:rsidRDefault="00703F97" w:rsidP="00703F97">
            <w:pPr>
              <w:spacing w:line="276" w:lineRule="auto"/>
              <w:rPr>
                <w:b/>
                <w:bCs/>
                <w:color w:val="000000"/>
                <w:lang w:val="en-US"/>
              </w:rPr>
            </w:pPr>
          </w:p>
        </w:tc>
      </w:tr>
      <w:tr w:rsidR="00703F97" w:rsidTr="00703F97">
        <w:tc>
          <w:tcPr>
            <w:tcW w:w="8642" w:type="dxa"/>
          </w:tcPr>
          <w:p w:rsidR="00703F97" w:rsidRPr="00DE4C64" w:rsidRDefault="00703F97" w:rsidP="00703F97">
            <w:pPr>
              <w:pStyle w:val="ListeParagraf"/>
              <w:ind w:left="0"/>
              <w:jc w:val="both"/>
              <w:rPr>
                <w:rFonts w:ascii="Times New Roman" w:hAnsi="Times New Roman" w:cs="Times New Roman"/>
                <w:sz w:val="24"/>
                <w:szCs w:val="24"/>
                <w:u w:val="single"/>
              </w:rPr>
            </w:pPr>
            <w:r w:rsidRPr="008F6747">
              <w:rPr>
                <w:rStyle w:val="Balk3Char"/>
                <w:rFonts w:cs="Times New Roman"/>
                <w:u w:val="single"/>
              </w:rPr>
              <w:t>Yarışmacının Yapısı:</w:t>
            </w:r>
            <w:r w:rsidRPr="00DE4C64">
              <w:rPr>
                <w:rFonts w:ascii="Times New Roman" w:hAnsi="Times New Roman" w:cs="Times New Roman"/>
                <w:sz w:val="24"/>
                <w:szCs w:val="24"/>
                <w:u w:val="single"/>
              </w:rPr>
              <w:t xml:space="preserve"> </w:t>
            </w:r>
          </w:p>
          <w:p w:rsidR="00703F97" w:rsidRPr="008F6747" w:rsidRDefault="00703F97">
            <w:pPr>
              <w:pStyle w:val="ListeParagraf"/>
              <w:spacing w:after="0"/>
              <w:ind w:left="0"/>
              <w:jc w:val="both"/>
              <w:rPr>
                <w:rFonts w:ascii="Times New Roman" w:hAnsi="Times New Roman" w:cs="Times New Roman"/>
                <w:b/>
                <w:sz w:val="24"/>
                <w:szCs w:val="24"/>
                <w:u w:val="single"/>
              </w:rPr>
            </w:pPr>
            <w:r w:rsidRPr="00DE4C64">
              <w:rPr>
                <w:rFonts w:ascii="Times New Roman" w:hAnsi="Times New Roman" w:cs="Times New Roman"/>
                <w:sz w:val="24"/>
                <w:szCs w:val="24"/>
              </w:rPr>
              <w:t xml:space="preserve">Yarışmaya ancak tüzel kişi veya birden fazla tüzel kişi tarafından kurulan İş Ortaklıkları veya Konsorsiyumlar başvurabilir. Sözleşmeyi imzalayanın Konsorsiyum olması durumunda; Konsorsiyum ortakları, Sözleşme kapsamında yer alan yükümlülüklerinden müştereken ve </w:t>
            </w:r>
            <w:proofErr w:type="spellStart"/>
            <w:r w:rsidRPr="00DE4C64">
              <w:rPr>
                <w:rFonts w:ascii="Times New Roman" w:hAnsi="Times New Roman" w:cs="Times New Roman"/>
                <w:sz w:val="24"/>
                <w:szCs w:val="24"/>
              </w:rPr>
              <w:t>müteselsilen</w:t>
            </w:r>
            <w:proofErr w:type="spellEnd"/>
            <w:r w:rsidRPr="00DE4C64">
              <w:rPr>
                <w:rFonts w:ascii="Times New Roman" w:hAnsi="Times New Roman" w:cs="Times New Roman"/>
                <w:sz w:val="24"/>
                <w:szCs w:val="24"/>
              </w:rPr>
              <w:t xml:space="preserve"> sorumludur. </w:t>
            </w:r>
          </w:p>
        </w:tc>
        <w:tc>
          <w:tcPr>
            <w:tcW w:w="5352" w:type="dxa"/>
          </w:tcPr>
          <w:p w:rsidR="00703F97" w:rsidRDefault="00703F97" w:rsidP="00703F97">
            <w:pPr>
              <w:spacing w:line="276" w:lineRule="auto"/>
              <w:rPr>
                <w:b/>
                <w:bCs/>
                <w:color w:val="000000"/>
                <w:lang w:val="en-US"/>
              </w:rPr>
            </w:pPr>
          </w:p>
        </w:tc>
      </w:tr>
      <w:tr w:rsidR="00703F97" w:rsidTr="00703F97">
        <w:tc>
          <w:tcPr>
            <w:tcW w:w="8642" w:type="dxa"/>
          </w:tcPr>
          <w:p w:rsidR="00BD15E9" w:rsidRPr="008F6747" w:rsidRDefault="00BD15E9" w:rsidP="00BD15E9">
            <w:pPr>
              <w:tabs>
                <w:tab w:val="left" w:pos="993"/>
              </w:tabs>
              <w:spacing w:after="240" w:line="276" w:lineRule="auto"/>
              <w:jc w:val="both"/>
              <w:rPr>
                <w:b/>
                <w:bCs/>
                <w:u w:val="single"/>
              </w:rPr>
            </w:pPr>
            <w:r w:rsidRPr="008F6747">
              <w:rPr>
                <w:b/>
                <w:bCs/>
                <w:u w:val="single"/>
              </w:rPr>
              <w:t xml:space="preserve">İş deneyimi şartı: </w:t>
            </w:r>
          </w:p>
          <w:p w:rsidR="00BD15E9" w:rsidRPr="00BD15E9" w:rsidRDefault="00BD15E9" w:rsidP="00BD15E9">
            <w:pPr>
              <w:tabs>
                <w:tab w:val="left" w:pos="993"/>
              </w:tabs>
              <w:spacing w:line="276" w:lineRule="auto"/>
              <w:jc w:val="both"/>
              <w:rPr>
                <w:rStyle w:val="Balk3Char"/>
                <w:rFonts w:eastAsia="Times New Roman" w:cs="Times New Roman"/>
                <w:b w:val="0"/>
                <w:bCs w:val="0"/>
              </w:rPr>
            </w:pPr>
            <w:r w:rsidRPr="008F6747">
              <w:rPr>
                <w:bCs/>
              </w:rPr>
              <w:t>Başvuruda, Yarışmacılardan İş deneyim belgesi istenmez.</w:t>
            </w:r>
            <w:r w:rsidRPr="008F6747">
              <w:t xml:space="preserve"> Yarışmaya katılan tüzel kişinin veya İş Ortaklığının veya Konsorsiyumun ortaklık yapısında Türkiye Cumhuriyeti vatandaşlarına ve teknoloji sağlayıcısına ait asgari pay oranı aranmaz.</w:t>
            </w:r>
          </w:p>
        </w:tc>
        <w:tc>
          <w:tcPr>
            <w:tcW w:w="5352" w:type="dxa"/>
          </w:tcPr>
          <w:p w:rsidR="00703F97" w:rsidRDefault="00703F97" w:rsidP="00703F97">
            <w:pPr>
              <w:spacing w:line="276" w:lineRule="auto"/>
              <w:rPr>
                <w:b/>
                <w:bCs/>
                <w:color w:val="000000"/>
                <w:lang w:val="en-US"/>
              </w:rPr>
            </w:pPr>
          </w:p>
        </w:tc>
      </w:tr>
      <w:tr w:rsidR="00BD15E9" w:rsidTr="00703F97">
        <w:tc>
          <w:tcPr>
            <w:tcW w:w="8642" w:type="dxa"/>
          </w:tcPr>
          <w:p w:rsidR="006561BB" w:rsidRDefault="006561BB" w:rsidP="006561BB">
            <w:pPr>
              <w:tabs>
                <w:tab w:val="left" w:pos="993"/>
              </w:tabs>
              <w:spacing w:after="240" w:line="276" w:lineRule="auto"/>
              <w:jc w:val="both"/>
              <w:rPr>
                <w:b/>
                <w:bCs/>
                <w:u w:val="single"/>
              </w:rPr>
            </w:pPr>
            <w:r w:rsidRPr="006561BB">
              <w:rPr>
                <w:b/>
                <w:bCs/>
                <w:u w:val="single"/>
              </w:rPr>
              <w:t>Mali yeterlilik şartları:</w:t>
            </w:r>
          </w:p>
          <w:p w:rsidR="006561BB" w:rsidRDefault="006561BB" w:rsidP="006561BB">
            <w:pPr>
              <w:autoSpaceDE w:val="0"/>
              <w:autoSpaceDN w:val="0"/>
              <w:adjustRightInd w:val="0"/>
              <w:spacing w:line="276" w:lineRule="auto"/>
            </w:pPr>
            <w:r w:rsidRPr="008F6747">
              <w:t xml:space="preserve">Yarışmaya tüzel kişi veya İş Ortaklığı olarak teklif verilmesi durumunda pay oranları dikkate alınarak toplamda veya Konsorsiyum olarak teklif verilmesi durumunda ise Konsorsiyum Beyannamesinde taahhüt edilen GES Şirketi’nin pay oranları dikkate alınarak toplamda aşağıdaki iki koşuldan en az birisi sağlanmak zorundadır. Bu şartları söz konusu şirketlerin payları oranında doğrudan veya dolaylı ortaklarının sağlaması da yeterlidir. </w:t>
            </w:r>
          </w:p>
          <w:p w:rsidR="006561BB" w:rsidRPr="008F6747" w:rsidRDefault="006561BB" w:rsidP="006561BB">
            <w:pPr>
              <w:autoSpaceDE w:val="0"/>
              <w:autoSpaceDN w:val="0"/>
              <w:adjustRightInd w:val="0"/>
              <w:spacing w:line="276" w:lineRule="auto"/>
            </w:pPr>
            <w:r w:rsidRPr="008F6747">
              <w:t>• 2015, 2016 ve 2017 yıllarında elde edilen üç yıllık toplam net satış geliri veya gelirleri</w:t>
            </w:r>
          </w:p>
          <w:p w:rsidR="006561BB" w:rsidRPr="0075488A" w:rsidRDefault="006561BB" w:rsidP="006561BB">
            <w:pPr>
              <w:autoSpaceDE w:val="0"/>
              <w:autoSpaceDN w:val="0"/>
              <w:adjustRightInd w:val="0"/>
              <w:spacing w:line="276" w:lineRule="auto"/>
              <w:ind w:left="708" w:firstLine="708"/>
            </w:pPr>
            <w:r w:rsidRPr="0075488A">
              <w:t xml:space="preserve">≥ </w:t>
            </w:r>
            <w:r w:rsidRPr="00D31CFB">
              <w:rPr>
                <w:b/>
              </w:rPr>
              <w:t>600.000.000 (</w:t>
            </w:r>
            <w:proofErr w:type="spellStart"/>
            <w:r w:rsidRPr="00D31CFB">
              <w:rPr>
                <w:b/>
              </w:rPr>
              <w:t>altıyüz</w:t>
            </w:r>
            <w:r w:rsidR="00F33391" w:rsidRPr="00D31CFB">
              <w:rPr>
                <w:b/>
              </w:rPr>
              <w:t>milyon</w:t>
            </w:r>
            <w:proofErr w:type="spellEnd"/>
            <w:r w:rsidR="00F33391" w:rsidRPr="00D31CFB">
              <w:rPr>
                <w:b/>
              </w:rPr>
              <w:t xml:space="preserve"> ile</w:t>
            </w:r>
            <w:r w:rsidRPr="00D31CFB">
              <w:rPr>
                <w:b/>
              </w:rPr>
              <w:t>) TL</w:t>
            </w:r>
            <w:r w:rsidRPr="0075488A">
              <w:t xml:space="preserve"> (veya karşılığı yabancı para)</w:t>
            </w:r>
          </w:p>
          <w:p w:rsidR="006561BB" w:rsidRPr="0075488A" w:rsidRDefault="006561BB" w:rsidP="006561BB">
            <w:pPr>
              <w:autoSpaceDE w:val="0"/>
              <w:autoSpaceDN w:val="0"/>
              <w:adjustRightInd w:val="0"/>
              <w:spacing w:line="276" w:lineRule="auto"/>
              <w:ind w:left="708" w:firstLine="708"/>
            </w:pPr>
          </w:p>
          <w:p w:rsidR="006561BB" w:rsidRPr="0075488A" w:rsidRDefault="006561BB" w:rsidP="006561BB">
            <w:pPr>
              <w:autoSpaceDE w:val="0"/>
              <w:autoSpaceDN w:val="0"/>
              <w:adjustRightInd w:val="0"/>
              <w:spacing w:line="276" w:lineRule="auto"/>
            </w:pPr>
            <w:r w:rsidRPr="0075488A">
              <w:t>• 2017 yılı sonu itibariyle toplam varlıkları (aktifler)</w:t>
            </w:r>
          </w:p>
          <w:p w:rsidR="00BD15E9" w:rsidRPr="006561BB" w:rsidRDefault="006561BB" w:rsidP="006561BB">
            <w:pPr>
              <w:autoSpaceDE w:val="0"/>
              <w:autoSpaceDN w:val="0"/>
              <w:adjustRightInd w:val="0"/>
              <w:spacing w:line="276" w:lineRule="auto"/>
              <w:ind w:left="708" w:firstLine="708"/>
            </w:pPr>
            <w:r w:rsidRPr="0075488A">
              <w:t xml:space="preserve">≥ </w:t>
            </w:r>
            <w:r w:rsidRPr="00D31CFB">
              <w:rPr>
                <w:b/>
              </w:rPr>
              <w:t>180.000.000  (</w:t>
            </w:r>
            <w:proofErr w:type="spellStart"/>
            <w:r w:rsidRPr="00D31CFB">
              <w:rPr>
                <w:b/>
              </w:rPr>
              <w:t>yüzseksenmilyon</w:t>
            </w:r>
            <w:proofErr w:type="spellEnd"/>
            <w:r w:rsidRPr="00D31CFB">
              <w:rPr>
                <w:b/>
              </w:rPr>
              <w:t xml:space="preserve"> ile) TL</w:t>
            </w:r>
            <w:r w:rsidRPr="00D31CFB">
              <w:t xml:space="preserve"> </w:t>
            </w:r>
            <w:r w:rsidRPr="0075488A">
              <w:t>(veya karşılığı</w:t>
            </w:r>
            <w:r w:rsidRPr="008F6747">
              <w:t xml:space="preserve"> yabancı para)</w:t>
            </w:r>
          </w:p>
        </w:tc>
        <w:tc>
          <w:tcPr>
            <w:tcW w:w="5352" w:type="dxa"/>
          </w:tcPr>
          <w:p w:rsidR="00BD15E9" w:rsidRDefault="00BD15E9" w:rsidP="00703F97">
            <w:pPr>
              <w:spacing w:line="276" w:lineRule="auto"/>
              <w:rPr>
                <w:b/>
                <w:bCs/>
                <w:color w:val="000000"/>
                <w:lang w:val="en-US"/>
              </w:rPr>
            </w:pPr>
          </w:p>
        </w:tc>
      </w:tr>
      <w:tr w:rsidR="006561BB" w:rsidTr="00703F97">
        <w:tc>
          <w:tcPr>
            <w:tcW w:w="8642" w:type="dxa"/>
          </w:tcPr>
          <w:p w:rsidR="001514FE" w:rsidRPr="008F6747" w:rsidRDefault="001514FE" w:rsidP="001514FE">
            <w:pPr>
              <w:suppressAutoHyphens/>
              <w:spacing w:after="240" w:line="276" w:lineRule="auto"/>
              <w:jc w:val="both"/>
              <w:rPr>
                <w:b/>
                <w:lang w:eastAsia="ar-SA"/>
              </w:rPr>
            </w:pPr>
            <w:r w:rsidRPr="008F6747">
              <w:rPr>
                <w:b/>
                <w:bCs/>
                <w:u w:val="single"/>
              </w:rPr>
              <w:lastRenderedPageBreak/>
              <w:t xml:space="preserve">Yarışma </w:t>
            </w:r>
            <w:r>
              <w:rPr>
                <w:b/>
                <w:bCs/>
                <w:u w:val="single"/>
              </w:rPr>
              <w:t>u</w:t>
            </w:r>
            <w:r w:rsidRPr="008F6747">
              <w:rPr>
                <w:b/>
                <w:bCs/>
                <w:u w:val="single"/>
              </w:rPr>
              <w:t>sulü:</w:t>
            </w:r>
            <w:r w:rsidRPr="008F6747">
              <w:rPr>
                <w:b/>
                <w:u w:val="single"/>
                <w:lang w:eastAsia="ar-SA"/>
              </w:rPr>
              <w:t xml:space="preserve"> </w:t>
            </w:r>
          </w:p>
          <w:p w:rsidR="001514FE" w:rsidRDefault="001514FE" w:rsidP="001514FE">
            <w:pPr>
              <w:suppressAutoHyphens/>
              <w:spacing w:line="276" w:lineRule="auto"/>
              <w:jc w:val="both"/>
              <w:rPr>
                <w:lang w:eastAsia="ar-SA"/>
              </w:rPr>
            </w:pPr>
            <w:r w:rsidRPr="008F6747">
              <w:rPr>
                <w:lang w:eastAsia="ar-SA"/>
              </w:rPr>
              <w:t xml:space="preserve">Yarışma, ilanda yer alacak kilovatsaat başına elektrik enerjisi alım tavan fiyatı üzerinden açık eksiltme usulüne göre yapılır, en düşük ve son teklife ulaşılınca sonlandırılır. </w:t>
            </w:r>
          </w:p>
          <w:p w:rsidR="001514FE" w:rsidRPr="001514FE" w:rsidRDefault="001514FE" w:rsidP="001514FE">
            <w:pPr>
              <w:suppressAutoHyphens/>
              <w:spacing w:line="276" w:lineRule="auto"/>
              <w:jc w:val="both"/>
              <w:rPr>
                <w:lang w:eastAsia="ar-SA"/>
              </w:rPr>
            </w:pPr>
          </w:p>
        </w:tc>
        <w:tc>
          <w:tcPr>
            <w:tcW w:w="5352" w:type="dxa"/>
          </w:tcPr>
          <w:p w:rsidR="006561BB" w:rsidRDefault="006561BB" w:rsidP="00703F97">
            <w:pPr>
              <w:spacing w:line="276" w:lineRule="auto"/>
              <w:rPr>
                <w:b/>
                <w:bCs/>
                <w:color w:val="000000"/>
                <w:lang w:val="en-US"/>
              </w:rPr>
            </w:pPr>
          </w:p>
        </w:tc>
      </w:tr>
      <w:tr w:rsidR="001514FE" w:rsidTr="00703F97">
        <w:tc>
          <w:tcPr>
            <w:tcW w:w="8642" w:type="dxa"/>
          </w:tcPr>
          <w:p w:rsidR="00171413" w:rsidRPr="008F6747" w:rsidRDefault="00171413" w:rsidP="00171413">
            <w:pPr>
              <w:spacing w:after="240" w:line="276" w:lineRule="auto"/>
              <w:jc w:val="both"/>
              <w:rPr>
                <w:u w:val="single"/>
              </w:rPr>
            </w:pPr>
            <w:r w:rsidRPr="008F6747">
              <w:rPr>
                <w:b/>
                <w:u w:val="single"/>
                <w:lang w:eastAsia="ar-SA"/>
              </w:rPr>
              <w:t>Teknoloji</w:t>
            </w:r>
            <w:r>
              <w:rPr>
                <w:b/>
                <w:u w:val="single"/>
                <w:lang w:eastAsia="ar-SA"/>
              </w:rPr>
              <w:t xml:space="preserve"> türü</w:t>
            </w:r>
            <w:r w:rsidRPr="008F6747">
              <w:rPr>
                <w:u w:val="single"/>
                <w:lang w:eastAsia="ar-SA"/>
              </w:rPr>
              <w:t xml:space="preserve">: </w:t>
            </w:r>
            <w:r w:rsidRPr="008F6747">
              <w:rPr>
                <w:u w:val="single"/>
              </w:rPr>
              <w:t xml:space="preserve"> </w:t>
            </w:r>
          </w:p>
          <w:p w:rsidR="00171413" w:rsidRPr="008F6747" w:rsidRDefault="00171413" w:rsidP="00171413">
            <w:pPr>
              <w:spacing w:line="276" w:lineRule="auto"/>
              <w:jc w:val="both"/>
            </w:pPr>
            <w:proofErr w:type="spellStart"/>
            <w:r w:rsidRPr="008F6747">
              <w:t>YEKA’larda</w:t>
            </w:r>
            <w:proofErr w:type="spellEnd"/>
            <w:r w:rsidRPr="008F6747">
              <w:t xml:space="preserve"> kullanılacak </w:t>
            </w:r>
            <w:r w:rsidRPr="008F6747">
              <w:rPr>
                <w:bCs/>
              </w:rPr>
              <w:t>Güneş Modülleri; kristal (silisyum esaslı; tek /mono ve/veya çok/</w:t>
            </w:r>
            <w:proofErr w:type="spellStart"/>
            <w:r w:rsidRPr="008F6747">
              <w:rPr>
                <w:bCs/>
              </w:rPr>
              <w:t>poly</w:t>
            </w:r>
            <w:proofErr w:type="spellEnd"/>
            <w:r w:rsidRPr="008F6747">
              <w:rPr>
                <w:bCs/>
              </w:rPr>
              <w:t>) ve/veya ince film ve/veya çok katmanlı (</w:t>
            </w:r>
            <w:proofErr w:type="spellStart"/>
            <w:r w:rsidRPr="008F6747">
              <w:rPr>
                <w:bCs/>
              </w:rPr>
              <w:t>heterojunction</w:t>
            </w:r>
            <w:proofErr w:type="spellEnd"/>
            <w:r w:rsidRPr="008F6747">
              <w:rPr>
                <w:bCs/>
              </w:rPr>
              <w:t>) ve/veya çift yönlü (</w:t>
            </w:r>
            <w:proofErr w:type="spellStart"/>
            <w:r w:rsidRPr="008F6747">
              <w:rPr>
                <w:bCs/>
              </w:rPr>
              <w:t>bifacial</w:t>
            </w:r>
            <w:proofErr w:type="spellEnd"/>
            <w:r w:rsidRPr="008F6747">
              <w:rPr>
                <w:bCs/>
              </w:rPr>
              <w:t xml:space="preserve">) teknolojilerinden bir veya birkaçını içerir.  </w:t>
            </w:r>
            <w:r w:rsidRPr="008F6747">
              <w:t xml:space="preserve">Kullanılacak yerli malı belgeli Güneş Modüllerinin ve varsa FV güneş hücresinin verim değerleri olarak;  </w:t>
            </w:r>
          </w:p>
          <w:p w:rsidR="00171413" w:rsidRPr="00DE4C64" w:rsidRDefault="00171413" w:rsidP="00171413">
            <w:pPr>
              <w:spacing w:line="276" w:lineRule="auto"/>
            </w:pPr>
          </w:p>
          <w:p w:rsidR="00171413" w:rsidRPr="00083728" w:rsidRDefault="00171413" w:rsidP="00171413">
            <w:pPr>
              <w:pStyle w:val="ListeParagraf"/>
              <w:numPr>
                <w:ilvl w:val="0"/>
                <w:numId w:val="1"/>
              </w:numPr>
              <w:spacing w:line="240" w:lineRule="auto"/>
              <w:jc w:val="both"/>
              <w:rPr>
                <w:rFonts w:ascii="Times New Roman" w:hAnsi="Times New Roman" w:cs="Times New Roman"/>
                <w:sz w:val="24"/>
                <w:szCs w:val="24"/>
              </w:rPr>
            </w:pPr>
            <w:r w:rsidRPr="008F6747">
              <w:rPr>
                <w:rFonts w:ascii="Times New Roman" w:hAnsi="Times New Roman" w:cs="Times New Roman"/>
                <w:sz w:val="24"/>
                <w:szCs w:val="24"/>
              </w:rPr>
              <w:t xml:space="preserve">FV Güneş Hücre </w:t>
            </w:r>
            <w:r w:rsidRPr="00083728">
              <w:rPr>
                <w:rFonts w:ascii="Times New Roman" w:hAnsi="Times New Roman" w:cs="Times New Roman"/>
                <w:sz w:val="24"/>
                <w:szCs w:val="24"/>
              </w:rPr>
              <w:t xml:space="preserve">Verimi     </w:t>
            </w:r>
            <w:r w:rsidRPr="00D31CFB">
              <w:rPr>
                <w:rFonts w:ascii="Times New Roman" w:hAnsi="Times New Roman" w:cs="Times New Roman"/>
                <w:sz w:val="24"/>
                <w:szCs w:val="24"/>
              </w:rPr>
              <w:t>≥  % 21,00</w:t>
            </w:r>
          </w:p>
          <w:p w:rsidR="00171413" w:rsidRPr="00083728" w:rsidRDefault="00171413" w:rsidP="00171413">
            <w:pPr>
              <w:pStyle w:val="ListeParagraf"/>
              <w:numPr>
                <w:ilvl w:val="0"/>
                <w:numId w:val="1"/>
              </w:numPr>
              <w:spacing w:line="240" w:lineRule="auto"/>
              <w:jc w:val="both"/>
              <w:rPr>
                <w:rFonts w:ascii="Times New Roman" w:hAnsi="Times New Roman" w:cs="Times New Roman"/>
                <w:sz w:val="24"/>
                <w:szCs w:val="24"/>
              </w:rPr>
            </w:pPr>
            <w:r w:rsidRPr="00083728">
              <w:rPr>
                <w:rFonts w:ascii="Times New Roman" w:hAnsi="Times New Roman" w:cs="Times New Roman"/>
                <w:sz w:val="24"/>
                <w:szCs w:val="24"/>
              </w:rPr>
              <w:t xml:space="preserve">Güneş Modülü Verimi        </w:t>
            </w:r>
            <w:r w:rsidRPr="00D31CFB">
              <w:rPr>
                <w:rFonts w:ascii="Times New Roman" w:hAnsi="Times New Roman" w:cs="Times New Roman"/>
                <w:sz w:val="24"/>
                <w:szCs w:val="24"/>
              </w:rPr>
              <w:t>≥  % 18,00</w:t>
            </w:r>
          </w:p>
          <w:p w:rsidR="00171413" w:rsidRPr="00083728" w:rsidRDefault="00171413" w:rsidP="00171413">
            <w:pPr>
              <w:spacing w:line="276" w:lineRule="auto"/>
              <w:jc w:val="both"/>
            </w:pPr>
            <w:proofErr w:type="gramStart"/>
            <w:r w:rsidRPr="00083728">
              <w:t>sağlar</w:t>
            </w:r>
            <w:proofErr w:type="gramEnd"/>
            <w:r w:rsidRPr="00083728">
              <w:t xml:space="preserve">. Güneş Modüllerinde toplam verim kaybı ve </w:t>
            </w:r>
            <w:proofErr w:type="gramStart"/>
            <w:r w:rsidRPr="00083728">
              <w:t>modül</w:t>
            </w:r>
            <w:proofErr w:type="gramEnd"/>
            <w:r w:rsidRPr="00083728">
              <w:t xml:space="preserve"> ömrü; </w:t>
            </w:r>
          </w:p>
          <w:p w:rsidR="00134B13" w:rsidRPr="00083728" w:rsidRDefault="00134B13" w:rsidP="00171413">
            <w:pPr>
              <w:spacing w:line="276" w:lineRule="auto"/>
              <w:jc w:val="both"/>
            </w:pPr>
          </w:p>
          <w:p w:rsidR="00171413" w:rsidRPr="00083728" w:rsidRDefault="00171413" w:rsidP="00171413">
            <w:pPr>
              <w:numPr>
                <w:ilvl w:val="0"/>
                <w:numId w:val="2"/>
              </w:numPr>
              <w:spacing w:after="200"/>
              <w:contextualSpacing/>
              <w:jc w:val="both"/>
              <w:rPr>
                <w:rFonts w:eastAsia="Calibri"/>
                <w:lang w:eastAsia="en-US"/>
              </w:rPr>
            </w:pPr>
            <w:r w:rsidRPr="00083728">
              <w:rPr>
                <w:rFonts w:eastAsia="Calibri"/>
                <w:lang w:eastAsia="en-US"/>
              </w:rPr>
              <w:t xml:space="preserve"> Azami Verim Kaybı: </w:t>
            </w:r>
          </w:p>
          <w:p w:rsidR="00171413" w:rsidRPr="00083728" w:rsidRDefault="00171413" w:rsidP="00171413">
            <w:pPr>
              <w:spacing w:after="200" w:line="240" w:lineRule="atLeast"/>
              <w:ind w:left="1066"/>
              <w:jc w:val="both"/>
              <w:rPr>
                <w:rFonts w:eastAsia="Calibri"/>
                <w:lang w:eastAsia="en-US"/>
              </w:rPr>
            </w:pPr>
            <w:r w:rsidRPr="00083728">
              <w:rPr>
                <w:rFonts w:eastAsia="Calibri"/>
                <w:lang w:eastAsia="en-US"/>
              </w:rPr>
              <w:t xml:space="preserve">- İlk 10 </w:t>
            </w:r>
            <w:proofErr w:type="gramStart"/>
            <w:r w:rsidRPr="00083728">
              <w:rPr>
                <w:rFonts w:eastAsia="Calibri"/>
                <w:lang w:eastAsia="en-US"/>
              </w:rPr>
              <w:t>yıl sonunda</w:t>
            </w:r>
            <w:proofErr w:type="gramEnd"/>
            <w:r w:rsidRPr="00083728">
              <w:rPr>
                <w:rFonts w:eastAsia="Calibri"/>
                <w:lang w:eastAsia="en-US"/>
              </w:rPr>
              <w:t xml:space="preserve">                 : </w:t>
            </w:r>
            <w:r w:rsidRPr="00D31CFB">
              <w:rPr>
                <w:rFonts w:eastAsia="Calibri"/>
                <w:lang w:eastAsia="en-US"/>
              </w:rPr>
              <w:t>%  9</w:t>
            </w:r>
            <w:r w:rsidRPr="00083728">
              <w:rPr>
                <w:rFonts w:eastAsia="Calibri"/>
                <w:lang w:eastAsia="en-US"/>
              </w:rPr>
              <w:t xml:space="preserve">  </w:t>
            </w:r>
          </w:p>
          <w:p w:rsidR="00171413" w:rsidRPr="00083728" w:rsidRDefault="00171413" w:rsidP="00171413">
            <w:pPr>
              <w:spacing w:after="200" w:line="240" w:lineRule="atLeast"/>
              <w:ind w:left="1066"/>
              <w:jc w:val="both"/>
              <w:rPr>
                <w:rFonts w:eastAsia="Calibri"/>
                <w:shd w:val="clear" w:color="auto" w:fill="FFFF00"/>
                <w:lang w:eastAsia="en-US"/>
              </w:rPr>
            </w:pPr>
            <w:r w:rsidRPr="00083728">
              <w:rPr>
                <w:rFonts w:eastAsia="Calibri"/>
                <w:lang w:eastAsia="en-US"/>
              </w:rPr>
              <w:t xml:space="preserve">- 25 inci yılın sonuna kadar     : </w:t>
            </w:r>
            <w:r w:rsidRPr="00D31CFB">
              <w:rPr>
                <w:rFonts w:eastAsia="Calibri"/>
                <w:lang w:eastAsia="en-US"/>
              </w:rPr>
              <w:t>% 20</w:t>
            </w:r>
          </w:p>
          <w:p w:rsidR="00171413" w:rsidRPr="00083728" w:rsidRDefault="00171413" w:rsidP="00171413">
            <w:pPr>
              <w:numPr>
                <w:ilvl w:val="0"/>
                <w:numId w:val="2"/>
              </w:numPr>
              <w:autoSpaceDE w:val="0"/>
              <w:autoSpaceDN w:val="0"/>
              <w:adjustRightInd w:val="0"/>
              <w:spacing w:after="200" w:line="240" w:lineRule="atLeast"/>
              <w:ind w:left="1066"/>
              <w:contextualSpacing/>
              <w:jc w:val="both"/>
              <w:rPr>
                <w:rFonts w:eastAsia="Calibri"/>
                <w:lang w:eastAsia="en-US"/>
              </w:rPr>
            </w:pPr>
            <w:r w:rsidRPr="00083728">
              <w:rPr>
                <w:rFonts w:eastAsia="Calibri"/>
                <w:lang w:eastAsia="en-US"/>
              </w:rPr>
              <w:t xml:space="preserve">Asgari  Güneş Modülü </w:t>
            </w:r>
            <w:proofErr w:type="gramStart"/>
            <w:r w:rsidRPr="00083728">
              <w:rPr>
                <w:rFonts w:eastAsia="Calibri"/>
                <w:lang w:eastAsia="en-US"/>
              </w:rPr>
              <w:t xml:space="preserve">Ömrü  : </w:t>
            </w:r>
            <w:r w:rsidRPr="00D31CFB">
              <w:rPr>
                <w:rFonts w:eastAsia="Calibri"/>
                <w:lang w:eastAsia="en-US"/>
              </w:rPr>
              <w:t>25</w:t>
            </w:r>
            <w:proofErr w:type="gramEnd"/>
            <w:r w:rsidRPr="00D31CFB">
              <w:rPr>
                <w:rFonts w:eastAsia="Calibri"/>
                <w:lang w:eastAsia="en-US"/>
              </w:rPr>
              <w:t xml:space="preserve"> yıl</w:t>
            </w:r>
          </w:p>
          <w:p w:rsidR="00171413" w:rsidRPr="0075488A" w:rsidRDefault="00171413" w:rsidP="00171413">
            <w:pPr>
              <w:spacing w:line="276" w:lineRule="auto"/>
              <w:jc w:val="both"/>
              <w:rPr>
                <w:sz w:val="4"/>
                <w:szCs w:val="4"/>
              </w:rPr>
            </w:pPr>
          </w:p>
          <w:p w:rsidR="00171413" w:rsidRPr="00DE4C64" w:rsidRDefault="00171413" w:rsidP="00171413">
            <w:pPr>
              <w:pStyle w:val="ListeParagraf"/>
              <w:ind w:left="0"/>
              <w:jc w:val="both"/>
              <w:rPr>
                <w:rFonts w:ascii="Times New Roman" w:hAnsi="Times New Roman" w:cs="Times New Roman"/>
                <w:sz w:val="24"/>
                <w:szCs w:val="24"/>
              </w:rPr>
            </w:pPr>
            <w:proofErr w:type="gramStart"/>
            <w:r w:rsidRPr="0075488A">
              <w:rPr>
                <w:rFonts w:ascii="Times New Roman" w:hAnsi="Times New Roman" w:cs="Times New Roman"/>
                <w:sz w:val="24"/>
                <w:szCs w:val="24"/>
              </w:rPr>
              <w:t>şeklinde</w:t>
            </w:r>
            <w:proofErr w:type="gramEnd"/>
            <w:r w:rsidRPr="0075488A">
              <w:rPr>
                <w:rFonts w:ascii="Times New Roman" w:hAnsi="Times New Roman" w:cs="Times New Roman"/>
                <w:sz w:val="24"/>
                <w:szCs w:val="24"/>
              </w:rPr>
              <w:t xml:space="preserve"> olur.</w:t>
            </w:r>
          </w:p>
          <w:p w:rsidR="00171413" w:rsidRPr="00171413" w:rsidRDefault="00171413">
            <w:pPr>
              <w:pStyle w:val="ListeParagraf"/>
              <w:spacing w:after="0"/>
              <w:ind w:left="0"/>
              <w:jc w:val="both"/>
              <w:rPr>
                <w:rFonts w:ascii="Times New Roman" w:hAnsi="Times New Roman" w:cs="Times New Roman"/>
                <w:bCs/>
                <w:sz w:val="24"/>
                <w:szCs w:val="24"/>
              </w:rPr>
            </w:pPr>
            <w:r w:rsidRPr="008F6747">
              <w:rPr>
                <w:rFonts w:ascii="Times New Roman" w:hAnsi="Times New Roman" w:cs="Times New Roman"/>
                <w:bCs/>
                <w:sz w:val="24"/>
                <w:szCs w:val="24"/>
              </w:rPr>
              <w:t xml:space="preserve">Niğde-Bor YEKA içerisinde kurulacak </w:t>
            </w:r>
            <w:proofErr w:type="spellStart"/>
            <w:r w:rsidRPr="008F6747">
              <w:rPr>
                <w:rFonts w:ascii="Times New Roman" w:hAnsi="Times New Roman" w:cs="Times New Roman"/>
                <w:bCs/>
                <w:sz w:val="24"/>
                <w:szCs w:val="24"/>
              </w:rPr>
              <w:t>GES’te</w:t>
            </w:r>
            <w:proofErr w:type="spellEnd"/>
            <w:r w:rsidRPr="008F6747">
              <w:rPr>
                <w:rFonts w:ascii="Times New Roman" w:hAnsi="Times New Roman" w:cs="Times New Roman"/>
                <w:bCs/>
                <w:sz w:val="24"/>
                <w:szCs w:val="24"/>
              </w:rPr>
              <w:t xml:space="preserve"> asgari 30 MW / 90 </w:t>
            </w:r>
            <w:proofErr w:type="spellStart"/>
            <w:r w:rsidRPr="008F6747">
              <w:rPr>
                <w:rFonts w:ascii="Times New Roman" w:hAnsi="Times New Roman" w:cs="Times New Roman"/>
                <w:bCs/>
                <w:sz w:val="24"/>
                <w:szCs w:val="24"/>
              </w:rPr>
              <w:t>MWh</w:t>
            </w:r>
            <w:proofErr w:type="spellEnd"/>
            <w:r w:rsidRPr="008F6747">
              <w:rPr>
                <w:rFonts w:ascii="Times New Roman" w:hAnsi="Times New Roman" w:cs="Times New Roman"/>
                <w:bCs/>
                <w:sz w:val="24"/>
                <w:szCs w:val="24"/>
              </w:rPr>
              <w:t xml:space="preserve">  (AC) kapasitesindeki lityum-iyon teknolojili Enerji Depolama Sistemi kurulumu gerçekleştirilir.</w:t>
            </w:r>
            <w:r w:rsidR="0075488A">
              <w:rPr>
                <w:rFonts w:ascii="Times New Roman" w:hAnsi="Times New Roman" w:cs="Times New Roman"/>
                <w:bCs/>
                <w:sz w:val="24"/>
                <w:szCs w:val="24"/>
              </w:rPr>
              <w:t xml:space="preserve"> (</w:t>
            </w:r>
            <w:proofErr w:type="spellStart"/>
            <w:r w:rsidR="0075488A">
              <w:rPr>
                <w:rFonts w:ascii="Times New Roman" w:hAnsi="Times New Roman" w:cs="Times New Roman"/>
                <w:bCs/>
                <w:sz w:val="24"/>
                <w:szCs w:val="24"/>
              </w:rPr>
              <w:t>EDS’ye</w:t>
            </w:r>
            <w:proofErr w:type="spellEnd"/>
            <w:r w:rsidR="0075488A">
              <w:rPr>
                <w:rFonts w:ascii="Times New Roman" w:hAnsi="Times New Roman" w:cs="Times New Roman"/>
                <w:bCs/>
                <w:sz w:val="24"/>
                <w:szCs w:val="24"/>
              </w:rPr>
              <w:t xml:space="preserve"> ait taslak şartname ekte olarak verilmektedir.)</w:t>
            </w:r>
          </w:p>
        </w:tc>
        <w:tc>
          <w:tcPr>
            <w:tcW w:w="5352" w:type="dxa"/>
          </w:tcPr>
          <w:p w:rsidR="001514FE" w:rsidRDefault="001514FE" w:rsidP="00703F97">
            <w:pPr>
              <w:spacing w:line="276" w:lineRule="auto"/>
              <w:rPr>
                <w:b/>
                <w:bCs/>
                <w:color w:val="000000"/>
                <w:lang w:val="en-US"/>
              </w:rPr>
            </w:pPr>
          </w:p>
        </w:tc>
      </w:tr>
      <w:tr w:rsidR="00171413" w:rsidTr="00703F97">
        <w:tc>
          <w:tcPr>
            <w:tcW w:w="8642" w:type="dxa"/>
          </w:tcPr>
          <w:p w:rsidR="00171413" w:rsidRPr="008F6747" w:rsidRDefault="00171413" w:rsidP="00134B13">
            <w:pPr>
              <w:spacing w:after="240" w:line="276" w:lineRule="auto"/>
              <w:jc w:val="both"/>
              <w:rPr>
                <w:bCs/>
              </w:rPr>
            </w:pPr>
            <w:r w:rsidRPr="008F6747">
              <w:rPr>
                <w:b/>
                <w:bCs/>
                <w:u w:val="single"/>
              </w:rPr>
              <w:lastRenderedPageBreak/>
              <w:t>Yerliliğe ilişkin hükümler</w:t>
            </w:r>
            <w:r w:rsidRPr="008F6747">
              <w:rPr>
                <w:bCs/>
              </w:rPr>
              <w:t xml:space="preserve">:  </w:t>
            </w:r>
          </w:p>
          <w:p w:rsidR="00171413" w:rsidRDefault="00171413" w:rsidP="00171413">
            <w:pPr>
              <w:pStyle w:val="ListeParagraf"/>
              <w:ind w:left="0"/>
              <w:jc w:val="both"/>
              <w:rPr>
                <w:rFonts w:ascii="Times New Roman" w:hAnsi="Times New Roman" w:cs="Times New Roman"/>
                <w:sz w:val="24"/>
                <w:szCs w:val="24"/>
              </w:rPr>
            </w:pPr>
            <w:proofErr w:type="spellStart"/>
            <w:r w:rsidRPr="00DE4C64">
              <w:rPr>
                <w:rFonts w:ascii="Times New Roman" w:hAnsi="Times New Roman" w:cs="Times New Roman"/>
                <w:sz w:val="24"/>
                <w:szCs w:val="24"/>
              </w:rPr>
              <w:t>GES’lerde</w:t>
            </w:r>
            <w:proofErr w:type="spellEnd"/>
            <w:r w:rsidRPr="00DE4C64">
              <w:rPr>
                <w:rFonts w:ascii="Times New Roman" w:hAnsi="Times New Roman" w:cs="Times New Roman"/>
                <w:sz w:val="24"/>
                <w:szCs w:val="24"/>
              </w:rPr>
              <w:t xml:space="preserve"> kullanılacak tesis bileşenleri için istenilen yerli katkı oranları aşağıdaki tabloda verildiği gibidir. Y</w:t>
            </w:r>
            <w:r w:rsidRPr="008F6747">
              <w:rPr>
                <w:rFonts w:ascii="Times New Roman" w:hAnsi="Times New Roman" w:cs="Times New Roman"/>
                <w:sz w:val="24"/>
                <w:szCs w:val="24"/>
              </w:rPr>
              <w:t>erli malı belgeli Güneş Modülleri</w:t>
            </w:r>
            <w:r w:rsidRPr="008F6747">
              <w:rPr>
                <w:rFonts w:ascii="Times New Roman" w:hAnsi="Times New Roman" w:cs="Times New Roman"/>
                <w:b/>
                <w:sz w:val="24"/>
                <w:szCs w:val="24"/>
              </w:rPr>
              <w:t xml:space="preserve"> </w:t>
            </w:r>
            <w:proofErr w:type="gramStart"/>
            <w:r w:rsidRPr="008F6747">
              <w:rPr>
                <w:rFonts w:ascii="Times New Roman" w:hAnsi="Times New Roman" w:cs="Times New Roman"/>
                <w:sz w:val="24"/>
                <w:szCs w:val="24"/>
              </w:rPr>
              <w:t>Türkiye’de kurulu</w:t>
            </w:r>
            <w:proofErr w:type="gramEnd"/>
            <w:r w:rsidRPr="008F6747">
              <w:rPr>
                <w:rFonts w:ascii="Times New Roman" w:hAnsi="Times New Roman" w:cs="Times New Roman"/>
                <w:sz w:val="24"/>
                <w:szCs w:val="24"/>
              </w:rPr>
              <w:t xml:space="preserve"> (serbest bölgeler hariç) fabrikalarda üretilir veya yerli imalatçılardan tedarik edilir. </w:t>
            </w:r>
          </w:p>
          <w:tbl>
            <w:tblPr>
              <w:tblStyle w:val="TabloKlavuzu"/>
              <w:tblW w:w="8212" w:type="dxa"/>
              <w:jc w:val="center"/>
              <w:tblLook w:val="04A0" w:firstRow="1" w:lastRow="0" w:firstColumn="1" w:lastColumn="0" w:noHBand="0" w:noVBand="1"/>
            </w:tblPr>
            <w:tblGrid>
              <w:gridCol w:w="3392"/>
              <w:gridCol w:w="2410"/>
              <w:gridCol w:w="2410"/>
            </w:tblGrid>
            <w:tr w:rsidR="00171413" w:rsidRPr="00CD4213" w:rsidTr="00A95BF6">
              <w:trPr>
                <w:trHeight w:val="439"/>
                <w:jc w:val="center"/>
              </w:trPr>
              <w:tc>
                <w:tcPr>
                  <w:tcW w:w="3392" w:type="dxa"/>
                  <w:tcBorders>
                    <w:left w:val="single" w:sz="4" w:space="0" w:color="auto"/>
                  </w:tcBorders>
                  <w:vAlign w:val="center"/>
                </w:tcPr>
                <w:p w:rsidR="00171413" w:rsidRPr="00CD4213" w:rsidRDefault="00171413" w:rsidP="00171413">
                  <w:pPr>
                    <w:spacing w:line="276" w:lineRule="auto"/>
                    <w:jc w:val="center"/>
                    <w:rPr>
                      <w:b/>
                      <w:sz w:val="20"/>
                      <w:szCs w:val="20"/>
                    </w:rPr>
                  </w:pPr>
                </w:p>
                <w:p w:rsidR="00171413" w:rsidRPr="00CD4213" w:rsidRDefault="00171413" w:rsidP="00171413">
                  <w:pPr>
                    <w:spacing w:line="276" w:lineRule="auto"/>
                    <w:jc w:val="center"/>
                    <w:rPr>
                      <w:b/>
                      <w:sz w:val="20"/>
                      <w:szCs w:val="20"/>
                    </w:rPr>
                  </w:pPr>
                  <w:r w:rsidRPr="00CD4213">
                    <w:rPr>
                      <w:b/>
                      <w:sz w:val="20"/>
                      <w:szCs w:val="20"/>
                    </w:rPr>
                    <w:t>TESİS BİLEŞENLERİ</w:t>
                  </w:r>
                </w:p>
                <w:p w:rsidR="00171413" w:rsidRPr="00CD4213" w:rsidRDefault="00171413" w:rsidP="00171413">
                  <w:pPr>
                    <w:spacing w:line="276" w:lineRule="auto"/>
                    <w:jc w:val="center"/>
                    <w:rPr>
                      <w:b/>
                      <w:sz w:val="20"/>
                      <w:szCs w:val="20"/>
                    </w:rPr>
                  </w:pPr>
                </w:p>
              </w:tc>
              <w:tc>
                <w:tcPr>
                  <w:tcW w:w="2410" w:type="dxa"/>
                  <w:vAlign w:val="center"/>
                </w:tcPr>
                <w:p w:rsidR="00171413" w:rsidRPr="00CD4213" w:rsidRDefault="00171413" w:rsidP="00171413">
                  <w:pPr>
                    <w:spacing w:line="276" w:lineRule="auto"/>
                    <w:jc w:val="center"/>
                    <w:rPr>
                      <w:b/>
                      <w:sz w:val="20"/>
                      <w:szCs w:val="20"/>
                    </w:rPr>
                  </w:pPr>
                  <w:r w:rsidRPr="00CD4213">
                    <w:rPr>
                      <w:b/>
                      <w:sz w:val="20"/>
                      <w:szCs w:val="20"/>
                    </w:rPr>
                    <w:t>YERLİ MALI BELGESİ ŞARTI</w:t>
                  </w:r>
                </w:p>
              </w:tc>
              <w:tc>
                <w:tcPr>
                  <w:tcW w:w="2410" w:type="dxa"/>
                </w:tcPr>
                <w:p w:rsidR="00171413" w:rsidRPr="00CD4213" w:rsidRDefault="00171413" w:rsidP="00171413">
                  <w:pPr>
                    <w:spacing w:line="276" w:lineRule="auto"/>
                    <w:jc w:val="center"/>
                    <w:rPr>
                      <w:b/>
                      <w:sz w:val="20"/>
                      <w:szCs w:val="20"/>
                    </w:rPr>
                  </w:pPr>
                </w:p>
                <w:p w:rsidR="00171413" w:rsidRPr="00CD4213" w:rsidRDefault="00171413" w:rsidP="00171413">
                  <w:pPr>
                    <w:spacing w:line="276" w:lineRule="auto"/>
                    <w:jc w:val="center"/>
                    <w:rPr>
                      <w:b/>
                      <w:sz w:val="20"/>
                      <w:szCs w:val="20"/>
                    </w:rPr>
                  </w:pPr>
                  <w:r w:rsidRPr="00CD4213">
                    <w:rPr>
                      <w:b/>
                      <w:sz w:val="20"/>
                      <w:szCs w:val="20"/>
                    </w:rPr>
                    <w:t>YERLİ KATKI ORANI (%)</w:t>
                  </w:r>
                </w:p>
              </w:tc>
            </w:tr>
            <w:tr w:rsidR="00171413" w:rsidRPr="00CD4213" w:rsidTr="00A95BF6">
              <w:trPr>
                <w:jc w:val="center"/>
              </w:trPr>
              <w:tc>
                <w:tcPr>
                  <w:tcW w:w="5802" w:type="dxa"/>
                  <w:gridSpan w:val="2"/>
                  <w:tcBorders>
                    <w:left w:val="single" w:sz="4" w:space="0" w:color="auto"/>
                  </w:tcBorders>
                  <w:vAlign w:val="center"/>
                </w:tcPr>
                <w:p w:rsidR="00171413" w:rsidRPr="00CD4213" w:rsidRDefault="00F33391" w:rsidP="00171413">
                  <w:pPr>
                    <w:spacing w:line="276" w:lineRule="auto"/>
                    <w:rPr>
                      <w:sz w:val="20"/>
                      <w:szCs w:val="20"/>
                    </w:rPr>
                  </w:pPr>
                  <w:r>
                    <w:rPr>
                      <w:b/>
                      <w:sz w:val="20"/>
                      <w:szCs w:val="20"/>
                    </w:rPr>
                    <w:t>ENERJİ DEPOLAMA SİSTEMİ (</w:t>
                  </w:r>
                  <w:r w:rsidR="00171413" w:rsidRPr="00CD4213">
                    <w:rPr>
                      <w:b/>
                      <w:sz w:val="20"/>
                      <w:szCs w:val="20"/>
                    </w:rPr>
                    <w:t>EDS</w:t>
                  </w:r>
                  <w:r>
                    <w:rPr>
                      <w:b/>
                      <w:sz w:val="20"/>
                      <w:szCs w:val="20"/>
                    </w:rPr>
                    <w:t>)</w:t>
                  </w:r>
                  <w:r w:rsidR="00171413" w:rsidRPr="00CD4213">
                    <w:rPr>
                      <w:b/>
                      <w:sz w:val="20"/>
                      <w:szCs w:val="20"/>
                    </w:rPr>
                    <w:t xml:space="preserve"> BİLEŞENLERİ </w:t>
                  </w:r>
                </w:p>
              </w:tc>
              <w:tc>
                <w:tcPr>
                  <w:tcW w:w="2410" w:type="dxa"/>
                  <w:tcBorders>
                    <w:left w:val="single" w:sz="4" w:space="0" w:color="auto"/>
                  </w:tcBorders>
                </w:tcPr>
                <w:p w:rsidR="00171413" w:rsidRPr="00CD4213" w:rsidRDefault="00171413" w:rsidP="00171413">
                  <w:pPr>
                    <w:spacing w:line="276" w:lineRule="auto"/>
                    <w:rPr>
                      <w:b/>
                      <w:sz w:val="20"/>
                      <w:szCs w:val="20"/>
                    </w:rPr>
                  </w:pPr>
                </w:p>
              </w:tc>
            </w:tr>
            <w:tr w:rsidR="00171413" w:rsidRPr="00CD4213" w:rsidTr="00A95BF6">
              <w:trPr>
                <w:trHeight w:val="255"/>
                <w:jc w:val="center"/>
              </w:trPr>
              <w:tc>
                <w:tcPr>
                  <w:tcW w:w="3392" w:type="dxa"/>
                  <w:tcBorders>
                    <w:left w:val="single" w:sz="4" w:space="0" w:color="auto"/>
                  </w:tcBorders>
                  <w:vAlign w:val="center"/>
                </w:tcPr>
                <w:p w:rsidR="00171413" w:rsidRPr="00CD4213" w:rsidRDefault="00171413" w:rsidP="00171413">
                  <w:pPr>
                    <w:spacing w:line="276" w:lineRule="auto"/>
                    <w:rPr>
                      <w:sz w:val="20"/>
                      <w:szCs w:val="20"/>
                    </w:rPr>
                  </w:pPr>
                  <w:r w:rsidRPr="00CD4213">
                    <w:rPr>
                      <w:rFonts w:eastAsia="Calibri"/>
                      <w:sz w:val="20"/>
                      <w:szCs w:val="20"/>
                      <w:lang w:eastAsia="en-US"/>
                    </w:rPr>
                    <w:t>Enerji Yönetim Sistemi</w:t>
                  </w:r>
                </w:p>
              </w:tc>
              <w:tc>
                <w:tcPr>
                  <w:tcW w:w="2410" w:type="dxa"/>
                  <w:vAlign w:val="center"/>
                </w:tcPr>
                <w:p w:rsidR="00171413" w:rsidRPr="00CD4213" w:rsidRDefault="00171413" w:rsidP="00171413">
                  <w:pPr>
                    <w:spacing w:line="276" w:lineRule="auto"/>
                    <w:jc w:val="center"/>
                    <w:rPr>
                      <w:sz w:val="20"/>
                      <w:szCs w:val="20"/>
                    </w:rPr>
                  </w:pPr>
                  <w:r w:rsidRPr="00CD4213">
                    <w:rPr>
                      <w:sz w:val="20"/>
                      <w:szCs w:val="20"/>
                    </w:rPr>
                    <w:t>Var</w:t>
                  </w:r>
                </w:p>
              </w:tc>
              <w:tc>
                <w:tcPr>
                  <w:tcW w:w="2410" w:type="dxa"/>
                </w:tcPr>
                <w:p w:rsidR="00171413" w:rsidRPr="00CD4213" w:rsidRDefault="00171413" w:rsidP="00171413">
                  <w:pPr>
                    <w:spacing w:line="276" w:lineRule="auto"/>
                    <w:jc w:val="center"/>
                    <w:rPr>
                      <w:sz w:val="20"/>
                      <w:szCs w:val="20"/>
                    </w:rPr>
                  </w:pPr>
                  <w:r w:rsidRPr="00CD4213">
                    <w:rPr>
                      <w:sz w:val="20"/>
                      <w:szCs w:val="20"/>
                    </w:rPr>
                    <w:t>≥51</w:t>
                  </w:r>
                </w:p>
              </w:tc>
            </w:tr>
            <w:tr w:rsidR="00171413" w:rsidRPr="00CD4213" w:rsidTr="00A95BF6">
              <w:trPr>
                <w:trHeight w:val="255"/>
                <w:jc w:val="center"/>
              </w:trPr>
              <w:tc>
                <w:tcPr>
                  <w:tcW w:w="3392" w:type="dxa"/>
                  <w:tcBorders>
                    <w:left w:val="single" w:sz="4" w:space="0" w:color="auto"/>
                  </w:tcBorders>
                  <w:vAlign w:val="center"/>
                </w:tcPr>
                <w:p w:rsidR="00171413" w:rsidRPr="00CD4213" w:rsidRDefault="00171413" w:rsidP="00171413">
                  <w:pPr>
                    <w:spacing w:line="276" w:lineRule="auto"/>
                    <w:rPr>
                      <w:rFonts w:eastAsia="Calibri"/>
                      <w:sz w:val="20"/>
                      <w:szCs w:val="20"/>
                      <w:lang w:eastAsia="en-US"/>
                    </w:rPr>
                  </w:pPr>
                </w:p>
              </w:tc>
              <w:tc>
                <w:tcPr>
                  <w:tcW w:w="2410" w:type="dxa"/>
                  <w:vAlign w:val="center"/>
                </w:tcPr>
                <w:p w:rsidR="00171413" w:rsidRPr="00CD4213" w:rsidRDefault="00171413" w:rsidP="00171413">
                  <w:pPr>
                    <w:spacing w:line="276" w:lineRule="auto"/>
                    <w:jc w:val="center"/>
                    <w:rPr>
                      <w:sz w:val="20"/>
                      <w:szCs w:val="20"/>
                    </w:rPr>
                  </w:pPr>
                </w:p>
              </w:tc>
              <w:tc>
                <w:tcPr>
                  <w:tcW w:w="2410" w:type="dxa"/>
                </w:tcPr>
                <w:p w:rsidR="00171413" w:rsidRPr="00CD4213" w:rsidRDefault="00171413" w:rsidP="00171413">
                  <w:pPr>
                    <w:spacing w:line="276" w:lineRule="auto"/>
                    <w:jc w:val="center"/>
                    <w:rPr>
                      <w:sz w:val="20"/>
                      <w:szCs w:val="20"/>
                    </w:rPr>
                  </w:pPr>
                </w:p>
              </w:tc>
            </w:tr>
            <w:tr w:rsidR="00171413" w:rsidRPr="00CD4213" w:rsidTr="00A95BF6">
              <w:trPr>
                <w:trHeight w:val="255"/>
                <w:jc w:val="center"/>
              </w:trPr>
              <w:tc>
                <w:tcPr>
                  <w:tcW w:w="5802" w:type="dxa"/>
                  <w:gridSpan w:val="2"/>
                  <w:tcBorders>
                    <w:left w:val="single" w:sz="4" w:space="0" w:color="auto"/>
                  </w:tcBorders>
                  <w:vAlign w:val="center"/>
                </w:tcPr>
                <w:p w:rsidR="00171413" w:rsidRPr="00CD4213" w:rsidRDefault="00171413" w:rsidP="00171413">
                  <w:pPr>
                    <w:spacing w:line="276" w:lineRule="auto"/>
                    <w:rPr>
                      <w:b/>
                      <w:sz w:val="20"/>
                      <w:szCs w:val="20"/>
                    </w:rPr>
                  </w:pPr>
                  <w:r w:rsidRPr="00CD4213">
                    <w:rPr>
                      <w:rFonts w:eastAsia="Calibri"/>
                      <w:b/>
                      <w:sz w:val="20"/>
                      <w:szCs w:val="20"/>
                      <w:lang w:eastAsia="en-US"/>
                    </w:rPr>
                    <w:t>GES BİLEŞENLERİ</w:t>
                  </w:r>
                </w:p>
              </w:tc>
              <w:tc>
                <w:tcPr>
                  <w:tcW w:w="2410" w:type="dxa"/>
                  <w:tcBorders>
                    <w:left w:val="single" w:sz="4" w:space="0" w:color="auto"/>
                  </w:tcBorders>
                </w:tcPr>
                <w:p w:rsidR="00171413" w:rsidRPr="00CD4213" w:rsidRDefault="00171413" w:rsidP="00171413">
                  <w:pPr>
                    <w:spacing w:line="276" w:lineRule="auto"/>
                    <w:rPr>
                      <w:rFonts w:eastAsia="Calibri"/>
                      <w:b/>
                      <w:sz w:val="20"/>
                      <w:szCs w:val="20"/>
                      <w:lang w:eastAsia="en-US"/>
                    </w:rPr>
                  </w:pPr>
                </w:p>
              </w:tc>
            </w:tr>
            <w:tr w:rsidR="00171413" w:rsidRPr="00CD4213" w:rsidTr="00A95BF6">
              <w:trPr>
                <w:trHeight w:val="255"/>
                <w:jc w:val="center"/>
              </w:trPr>
              <w:tc>
                <w:tcPr>
                  <w:tcW w:w="3392" w:type="dxa"/>
                  <w:tcBorders>
                    <w:left w:val="single" w:sz="4" w:space="0" w:color="auto"/>
                  </w:tcBorders>
                  <w:vAlign w:val="center"/>
                </w:tcPr>
                <w:p w:rsidR="00171413" w:rsidRPr="00CD4213" w:rsidRDefault="00171413" w:rsidP="00171413">
                  <w:pPr>
                    <w:spacing w:line="276" w:lineRule="auto"/>
                    <w:rPr>
                      <w:rFonts w:eastAsia="Calibri"/>
                      <w:sz w:val="20"/>
                      <w:szCs w:val="20"/>
                      <w:lang w:eastAsia="en-US"/>
                    </w:rPr>
                  </w:pPr>
                  <w:r w:rsidRPr="00CD4213">
                    <w:rPr>
                      <w:rFonts w:eastAsia="Calibri"/>
                      <w:sz w:val="20"/>
                      <w:szCs w:val="20"/>
                      <w:lang w:eastAsia="en-US"/>
                    </w:rPr>
                    <w:t>Güneş Modülü</w:t>
                  </w:r>
                </w:p>
              </w:tc>
              <w:tc>
                <w:tcPr>
                  <w:tcW w:w="2410" w:type="dxa"/>
                  <w:vAlign w:val="center"/>
                </w:tcPr>
                <w:p w:rsidR="00171413" w:rsidRPr="00CD4213" w:rsidRDefault="00171413" w:rsidP="00171413">
                  <w:pPr>
                    <w:spacing w:line="276" w:lineRule="auto"/>
                    <w:jc w:val="center"/>
                    <w:rPr>
                      <w:sz w:val="20"/>
                      <w:szCs w:val="20"/>
                    </w:rPr>
                  </w:pPr>
                  <w:r w:rsidRPr="00CD4213">
                    <w:rPr>
                      <w:sz w:val="20"/>
                      <w:szCs w:val="20"/>
                    </w:rPr>
                    <w:t>Var</w:t>
                  </w:r>
                </w:p>
              </w:tc>
              <w:tc>
                <w:tcPr>
                  <w:tcW w:w="2410" w:type="dxa"/>
                </w:tcPr>
                <w:p w:rsidR="00171413" w:rsidRPr="00CD4213" w:rsidRDefault="00171413" w:rsidP="00171413">
                  <w:pPr>
                    <w:spacing w:line="276" w:lineRule="auto"/>
                    <w:jc w:val="center"/>
                    <w:rPr>
                      <w:sz w:val="20"/>
                      <w:szCs w:val="20"/>
                    </w:rPr>
                  </w:pPr>
                  <w:r w:rsidRPr="00CD4213">
                    <w:rPr>
                      <w:sz w:val="20"/>
                      <w:szCs w:val="20"/>
                    </w:rPr>
                    <w:t>≥ 60</w:t>
                  </w:r>
                </w:p>
              </w:tc>
            </w:tr>
            <w:tr w:rsidR="00171413" w:rsidRPr="00CD4213" w:rsidTr="00A95BF6">
              <w:trPr>
                <w:trHeight w:val="255"/>
                <w:jc w:val="center"/>
              </w:trPr>
              <w:tc>
                <w:tcPr>
                  <w:tcW w:w="3392" w:type="dxa"/>
                  <w:tcBorders>
                    <w:left w:val="single" w:sz="4" w:space="0" w:color="auto"/>
                  </w:tcBorders>
                  <w:vAlign w:val="center"/>
                </w:tcPr>
                <w:p w:rsidR="00171413" w:rsidRPr="00CD4213" w:rsidRDefault="00171413" w:rsidP="00171413">
                  <w:pPr>
                    <w:spacing w:line="276" w:lineRule="auto"/>
                    <w:rPr>
                      <w:rFonts w:eastAsia="Calibri"/>
                      <w:sz w:val="20"/>
                      <w:szCs w:val="20"/>
                      <w:lang w:eastAsia="en-US"/>
                    </w:rPr>
                  </w:pPr>
                  <w:r w:rsidRPr="00CD4213">
                    <w:rPr>
                      <w:rFonts w:eastAsia="Calibri"/>
                      <w:sz w:val="20"/>
                      <w:szCs w:val="20"/>
                      <w:lang w:eastAsia="en-US"/>
                    </w:rPr>
                    <w:t>Kablo</w:t>
                  </w:r>
                </w:p>
              </w:tc>
              <w:tc>
                <w:tcPr>
                  <w:tcW w:w="2410" w:type="dxa"/>
                </w:tcPr>
                <w:p w:rsidR="00171413" w:rsidRPr="00CD4213" w:rsidRDefault="00171413" w:rsidP="00171413">
                  <w:pPr>
                    <w:spacing w:line="276" w:lineRule="auto"/>
                    <w:jc w:val="center"/>
                    <w:rPr>
                      <w:sz w:val="20"/>
                      <w:szCs w:val="20"/>
                    </w:rPr>
                  </w:pPr>
                  <w:r w:rsidRPr="00CD4213">
                    <w:rPr>
                      <w:sz w:val="20"/>
                      <w:szCs w:val="20"/>
                    </w:rPr>
                    <w:t>Var</w:t>
                  </w:r>
                </w:p>
              </w:tc>
              <w:tc>
                <w:tcPr>
                  <w:tcW w:w="2410" w:type="dxa"/>
                </w:tcPr>
                <w:p w:rsidR="00171413" w:rsidRPr="00CD4213" w:rsidRDefault="00171413" w:rsidP="00171413">
                  <w:pPr>
                    <w:spacing w:line="276" w:lineRule="auto"/>
                    <w:jc w:val="center"/>
                    <w:rPr>
                      <w:sz w:val="20"/>
                      <w:szCs w:val="20"/>
                    </w:rPr>
                  </w:pPr>
                  <w:r w:rsidRPr="00CD4213">
                    <w:rPr>
                      <w:sz w:val="20"/>
                      <w:szCs w:val="20"/>
                    </w:rPr>
                    <w:t>≥ 51</w:t>
                  </w:r>
                </w:p>
              </w:tc>
            </w:tr>
            <w:tr w:rsidR="00171413" w:rsidRPr="00CD4213" w:rsidTr="00A95BF6">
              <w:trPr>
                <w:trHeight w:val="255"/>
                <w:jc w:val="center"/>
              </w:trPr>
              <w:tc>
                <w:tcPr>
                  <w:tcW w:w="3392" w:type="dxa"/>
                  <w:tcBorders>
                    <w:left w:val="single" w:sz="4" w:space="0" w:color="auto"/>
                  </w:tcBorders>
                  <w:vAlign w:val="center"/>
                </w:tcPr>
                <w:p w:rsidR="00171413" w:rsidRPr="00CD4213" w:rsidRDefault="00171413" w:rsidP="00171413">
                  <w:pPr>
                    <w:spacing w:line="276" w:lineRule="auto"/>
                    <w:rPr>
                      <w:rFonts w:eastAsia="Calibri"/>
                      <w:sz w:val="20"/>
                      <w:szCs w:val="20"/>
                      <w:lang w:eastAsia="en-US"/>
                    </w:rPr>
                  </w:pPr>
                  <w:r w:rsidRPr="00CD4213">
                    <w:rPr>
                      <w:rFonts w:eastAsia="Calibri"/>
                      <w:sz w:val="20"/>
                      <w:szCs w:val="20"/>
                      <w:lang w:eastAsia="en-US"/>
                    </w:rPr>
                    <w:t>Kablo Kanalı</w:t>
                  </w:r>
                </w:p>
              </w:tc>
              <w:tc>
                <w:tcPr>
                  <w:tcW w:w="2410" w:type="dxa"/>
                </w:tcPr>
                <w:p w:rsidR="00171413" w:rsidRPr="00CD4213" w:rsidRDefault="00171413" w:rsidP="00171413">
                  <w:pPr>
                    <w:spacing w:line="276" w:lineRule="auto"/>
                    <w:jc w:val="center"/>
                    <w:rPr>
                      <w:sz w:val="20"/>
                      <w:szCs w:val="20"/>
                    </w:rPr>
                  </w:pPr>
                  <w:r w:rsidRPr="00CD4213">
                    <w:rPr>
                      <w:sz w:val="20"/>
                      <w:szCs w:val="20"/>
                    </w:rPr>
                    <w:t>Var</w:t>
                  </w:r>
                </w:p>
              </w:tc>
              <w:tc>
                <w:tcPr>
                  <w:tcW w:w="2410" w:type="dxa"/>
                </w:tcPr>
                <w:p w:rsidR="00171413" w:rsidRPr="00CD4213" w:rsidRDefault="00171413" w:rsidP="00171413">
                  <w:pPr>
                    <w:spacing w:line="276" w:lineRule="auto"/>
                    <w:jc w:val="center"/>
                    <w:rPr>
                      <w:sz w:val="20"/>
                      <w:szCs w:val="20"/>
                    </w:rPr>
                  </w:pPr>
                  <w:r w:rsidRPr="00CD4213">
                    <w:rPr>
                      <w:sz w:val="20"/>
                      <w:szCs w:val="20"/>
                    </w:rPr>
                    <w:t>≥ 51</w:t>
                  </w:r>
                </w:p>
              </w:tc>
            </w:tr>
            <w:tr w:rsidR="00171413" w:rsidRPr="00CD4213" w:rsidTr="00A95BF6">
              <w:trPr>
                <w:trHeight w:val="255"/>
                <w:jc w:val="center"/>
              </w:trPr>
              <w:tc>
                <w:tcPr>
                  <w:tcW w:w="3392" w:type="dxa"/>
                  <w:tcBorders>
                    <w:left w:val="single" w:sz="4" w:space="0" w:color="auto"/>
                  </w:tcBorders>
                  <w:vAlign w:val="center"/>
                </w:tcPr>
                <w:p w:rsidR="00171413" w:rsidRPr="00CD4213" w:rsidRDefault="00171413" w:rsidP="00171413">
                  <w:pPr>
                    <w:spacing w:line="276" w:lineRule="auto"/>
                    <w:rPr>
                      <w:rFonts w:eastAsia="Calibri"/>
                      <w:sz w:val="20"/>
                      <w:szCs w:val="20"/>
                      <w:lang w:eastAsia="en-US"/>
                    </w:rPr>
                  </w:pPr>
                  <w:r w:rsidRPr="00CD4213">
                    <w:rPr>
                      <w:rFonts w:eastAsia="Calibri"/>
                      <w:sz w:val="20"/>
                      <w:szCs w:val="20"/>
                      <w:lang w:eastAsia="en-US"/>
                    </w:rPr>
                    <w:t>Taşıyıcı Konstrüksiyon</w:t>
                  </w:r>
                </w:p>
              </w:tc>
              <w:tc>
                <w:tcPr>
                  <w:tcW w:w="2410" w:type="dxa"/>
                </w:tcPr>
                <w:p w:rsidR="00171413" w:rsidRPr="00CD4213" w:rsidRDefault="00171413" w:rsidP="00171413">
                  <w:pPr>
                    <w:spacing w:line="276" w:lineRule="auto"/>
                    <w:jc w:val="center"/>
                    <w:rPr>
                      <w:sz w:val="20"/>
                      <w:szCs w:val="20"/>
                    </w:rPr>
                  </w:pPr>
                  <w:r w:rsidRPr="00CD4213">
                    <w:rPr>
                      <w:sz w:val="20"/>
                      <w:szCs w:val="20"/>
                    </w:rPr>
                    <w:t>Var</w:t>
                  </w:r>
                </w:p>
              </w:tc>
              <w:tc>
                <w:tcPr>
                  <w:tcW w:w="2410" w:type="dxa"/>
                </w:tcPr>
                <w:p w:rsidR="00171413" w:rsidRPr="00CD4213" w:rsidRDefault="00171413" w:rsidP="00171413">
                  <w:pPr>
                    <w:spacing w:line="276" w:lineRule="auto"/>
                    <w:jc w:val="center"/>
                    <w:rPr>
                      <w:sz w:val="20"/>
                      <w:szCs w:val="20"/>
                    </w:rPr>
                  </w:pPr>
                  <w:r w:rsidRPr="00CD4213">
                    <w:rPr>
                      <w:sz w:val="20"/>
                      <w:szCs w:val="20"/>
                    </w:rPr>
                    <w:t>≥ 51</w:t>
                  </w:r>
                </w:p>
              </w:tc>
            </w:tr>
            <w:tr w:rsidR="00171413" w:rsidRPr="00CD4213" w:rsidTr="00A95BF6">
              <w:trPr>
                <w:trHeight w:val="255"/>
                <w:jc w:val="center"/>
              </w:trPr>
              <w:tc>
                <w:tcPr>
                  <w:tcW w:w="3392" w:type="dxa"/>
                  <w:tcBorders>
                    <w:left w:val="single" w:sz="4" w:space="0" w:color="auto"/>
                  </w:tcBorders>
                  <w:vAlign w:val="center"/>
                </w:tcPr>
                <w:p w:rsidR="00171413" w:rsidRPr="00CD4213" w:rsidRDefault="00171413" w:rsidP="00171413">
                  <w:pPr>
                    <w:spacing w:line="276" w:lineRule="auto"/>
                    <w:rPr>
                      <w:rFonts w:eastAsia="Calibri"/>
                      <w:sz w:val="20"/>
                      <w:szCs w:val="20"/>
                      <w:lang w:eastAsia="en-US"/>
                    </w:rPr>
                  </w:pPr>
                  <w:r w:rsidRPr="00CD4213">
                    <w:rPr>
                      <w:rFonts w:eastAsia="Calibri"/>
                      <w:sz w:val="20"/>
                      <w:szCs w:val="20"/>
                      <w:lang w:eastAsia="en-US"/>
                    </w:rPr>
                    <w:t>Evirici (</w:t>
                  </w:r>
                  <w:proofErr w:type="spellStart"/>
                  <w:r w:rsidRPr="00CD4213">
                    <w:rPr>
                      <w:rFonts w:eastAsia="Calibri"/>
                      <w:sz w:val="20"/>
                      <w:szCs w:val="20"/>
                      <w:lang w:eastAsia="en-US"/>
                    </w:rPr>
                    <w:t>İnvertör</w:t>
                  </w:r>
                  <w:proofErr w:type="spellEnd"/>
                  <w:r w:rsidRPr="00CD4213">
                    <w:rPr>
                      <w:rFonts w:eastAsia="Calibri"/>
                      <w:sz w:val="20"/>
                      <w:szCs w:val="20"/>
                      <w:lang w:eastAsia="en-US"/>
                    </w:rPr>
                    <w:t xml:space="preserve">) </w:t>
                  </w:r>
                </w:p>
              </w:tc>
              <w:tc>
                <w:tcPr>
                  <w:tcW w:w="2410" w:type="dxa"/>
                </w:tcPr>
                <w:p w:rsidR="00171413" w:rsidRPr="00CD4213" w:rsidRDefault="00171413" w:rsidP="00171413">
                  <w:pPr>
                    <w:spacing w:line="276" w:lineRule="auto"/>
                    <w:jc w:val="center"/>
                    <w:rPr>
                      <w:sz w:val="20"/>
                      <w:szCs w:val="20"/>
                    </w:rPr>
                  </w:pPr>
                  <w:r w:rsidRPr="00CD4213">
                    <w:rPr>
                      <w:sz w:val="20"/>
                      <w:szCs w:val="20"/>
                    </w:rPr>
                    <w:t>Var</w:t>
                  </w:r>
                </w:p>
              </w:tc>
              <w:tc>
                <w:tcPr>
                  <w:tcW w:w="2410" w:type="dxa"/>
                </w:tcPr>
                <w:p w:rsidR="00171413" w:rsidRPr="00CD4213" w:rsidRDefault="00171413" w:rsidP="00171413">
                  <w:pPr>
                    <w:spacing w:line="276" w:lineRule="auto"/>
                    <w:jc w:val="center"/>
                    <w:rPr>
                      <w:sz w:val="20"/>
                      <w:szCs w:val="20"/>
                    </w:rPr>
                  </w:pPr>
                  <w:r w:rsidRPr="00CD4213">
                    <w:rPr>
                      <w:sz w:val="20"/>
                      <w:szCs w:val="20"/>
                    </w:rPr>
                    <w:t>≥ 51</w:t>
                  </w:r>
                </w:p>
              </w:tc>
            </w:tr>
          </w:tbl>
          <w:p w:rsidR="00171413" w:rsidRPr="008F6747" w:rsidRDefault="00171413" w:rsidP="00171413">
            <w:pPr>
              <w:spacing w:after="240" w:line="276" w:lineRule="auto"/>
              <w:jc w:val="both"/>
              <w:rPr>
                <w:b/>
                <w:u w:val="single"/>
                <w:lang w:eastAsia="ar-SA"/>
              </w:rPr>
            </w:pPr>
          </w:p>
        </w:tc>
        <w:tc>
          <w:tcPr>
            <w:tcW w:w="5352" w:type="dxa"/>
          </w:tcPr>
          <w:p w:rsidR="00171413" w:rsidRDefault="00171413" w:rsidP="00703F97">
            <w:pPr>
              <w:spacing w:line="276" w:lineRule="auto"/>
              <w:rPr>
                <w:b/>
                <w:bCs/>
                <w:color w:val="000000"/>
                <w:lang w:val="en-US"/>
              </w:rPr>
            </w:pPr>
          </w:p>
          <w:p w:rsidR="002343D2" w:rsidRDefault="002343D2" w:rsidP="00703F97">
            <w:pPr>
              <w:spacing w:line="276" w:lineRule="auto"/>
              <w:rPr>
                <w:b/>
                <w:bCs/>
                <w:color w:val="000000"/>
                <w:lang w:val="en-US"/>
              </w:rPr>
            </w:pPr>
          </w:p>
          <w:p w:rsidR="002343D2" w:rsidRDefault="002343D2" w:rsidP="00703F97">
            <w:pPr>
              <w:spacing w:line="276" w:lineRule="auto"/>
              <w:rPr>
                <w:b/>
                <w:bCs/>
                <w:color w:val="000000"/>
                <w:lang w:val="en-US"/>
              </w:rPr>
            </w:pPr>
          </w:p>
          <w:p w:rsidR="002343D2" w:rsidRDefault="002343D2" w:rsidP="00703F97">
            <w:pPr>
              <w:spacing w:line="276" w:lineRule="auto"/>
              <w:rPr>
                <w:b/>
                <w:bCs/>
                <w:color w:val="000000"/>
                <w:lang w:val="en-US"/>
              </w:rPr>
            </w:pPr>
          </w:p>
          <w:p w:rsidR="002343D2" w:rsidRDefault="002343D2" w:rsidP="00703F97">
            <w:pPr>
              <w:spacing w:line="276" w:lineRule="auto"/>
              <w:rPr>
                <w:b/>
                <w:bCs/>
                <w:color w:val="000000"/>
                <w:lang w:val="en-US"/>
              </w:rPr>
            </w:pPr>
          </w:p>
          <w:p w:rsidR="002343D2" w:rsidRDefault="002343D2" w:rsidP="00703F97">
            <w:pPr>
              <w:spacing w:line="276" w:lineRule="auto"/>
              <w:rPr>
                <w:b/>
                <w:bCs/>
                <w:color w:val="000000"/>
                <w:lang w:val="en-US"/>
              </w:rPr>
            </w:pPr>
          </w:p>
          <w:p w:rsidR="002343D2" w:rsidRDefault="002343D2" w:rsidP="00703F97">
            <w:pPr>
              <w:spacing w:line="276" w:lineRule="auto"/>
              <w:rPr>
                <w:b/>
                <w:bCs/>
                <w:color w:val="000000"/>
                <w:lang w:val="en-US"/>
              </w:rPr>
            </w:pPr>
          </w:p>
          <w:p w:rsidR="002343D2" w:rsidRDefault="002343D2" w:rsidP="00703F97">
            <w:pPr>
              <w:spacing w:line="276" w:lineRule="auto"/>
              <w:rPr>
                <w:b/>
                <w:bCs/>
                <w:color w:val="000000"/>
                <w:lang w:val="en-US"/>
              </w:rPr>
            </w:pPr>
          </w:p>
          <w:p w:rsidR="002343D2" w:rsidRDefault="002343D2" w:rsidP="00703F97">
            <w:pPr>
              <w:spacing w:line="276" w:lineRule="auto"/>
              <w:rPr>
                <w:b/>
                <w:bCs/>
                <w:color w:val="000000"/>
                <w:lang w:val="en-US"/>
              </w:rPr>
            </w:pPr>
          </w:p>
          <w:p w:rsidR="002343D2" w:rsidRDefault="002343D2" w:rsidP="00703F97">
            <w:pPr>
              <w:spacing w:line="276" w:lineRule="auto"/>
              <w:rPr>
                <w:b/>
                <w:bCs/>
                <w:color w:val="000000"/>
                <w:lang w:val="en-US"/>
              </w:rPr>
            </w:pPr>
          </w:p>
          <w:p w:rsidR="002343D2" w:rsidRDefault="002343D2" w:rsidP="00703F97">
            <w:pPr>
              <w:spacing w:line="276" w:lineRule="auto"/>
              <w:rPr>
                <w:b/>
                <w:bCs/>
                <w:color w:val="000000"/>
                <w:lang w:val="en-US"/>
              </w:rPr>
            </w:pPr>
          </w:p>
          <w:p w:rsidR="002343D2" w:rsidRDefault="002343D2" w:rsidP="00703F97">
            <w:pPr>
              <w:spacing w:line="276" w:lineRule="auto"/>
              <w:rPr>
                <w:b/>
                <w:bCs/>
                <w:color w:val="000000"/>
                <w:lang w:val="en-US"/>
              </w:rPr>
            </w:pPr>
          </w:p>
          <w:p w:rsidR="002343D2" w:rsidRDefault="002343D2" w:rsidP="00703F97">
            <w:pPr>
              <w:spacing w:line="276" w:lineRule="auto"/>
              <w:rPr>
                <w:b/>
                <w:bCs/>
                <w:color w:val="000000"/>
                <w:lang w:val="en-US"/>
              </w:rPr>
            </w:pPr>
          </w:p>
          <w:p w:rsidR="002343D2" w:rsidRDefault="002343D2" w:rsidP="00703F97">
            <w:pPr>
              <w:spacing w:line="276" w:lineRule="auto"/>
              <w:rPr>
                <w:b/>
                <w:bCs/>
                <w:color w:val="000000"/>
                <w:lang w:val="en-US"/>
              </w:rPr>
            </w:pPr>
          </w:p>
          <w:p w:rsidR="002343D2" w:rsidRDefault="002343D2" w:rsidP="00703F97">
            <w:pPr>
              <w:spacing w:line="276" w:lineRule="auto"/>
              <w:rPr>
                <w:b/>
                <w:bCs/>
                <w:color w:val="000000"/>
                <w:lang w:val="en-US"/>
              </w:rPr>
            </w:pPr>
          </w:p>
          <w:p w:rsidR="002343D2" w:rsidRDefault="002343D2" w:rsidP="00703F97">
            <w:pPr>
              <w:spacing w:line="276" w:lineRule="auto"/>
              <w:rPr>
                <w:b/>
                <w:bCs/>
                <w:color w:val="000000"/>
                <w:lang w:val="en-US"/>
              </w:rPr>
            </w:pPr>
          </w:p>
        </w:tc>
      </w:tr>
      <w:tr w:rsidR="002343D2" w:rsidTr="00703F97">
        <w:tc>
          <w:tcPr>
            <w:tcW w:w="8642" w:type="dxa"/>
          </w:tcPr>
          <w:p w:rsidR="002E17CE" w:rsidRDefault="002E17CE" w:rsidP="002E17CE">
            <w:pPr>
              <w:spacing w:after="240" w:line="276" w:lineRule="auto"/>
              <w:jc w:val="both"/>
              <w:rPr>
                <w:b/>
                <w:bCs/>
                <w:u w:val="single"/>
              </w:rPr>
            </w:pPr>
            <w:r w:rsidRPr="002E17CE">
              <w:rPr>
                <w:b/>
                <w:bCs/>
                <w:u w:val="single"/>
              </w:rPr>
              <w:t xml:space="preserve">Teminat Mektubu: </w:t>
            </w:r>
          </w:p>
          <w:p w:rsidR="002E17CE" w:rsidRPr="0075488A" w:rsidRDefault="002E17CE" w:rsidP="002E17CE">
            <w:pPr>
              <w:spacing w:after="240" w:line="276" w:lineRule="auto"/>
              <w:jc w:val="both"/>
            </w:pPr>
            <w:r>
              <w:t>Yarışma b</w:t>
            </w:r>
            <w:r w:rsidRPr="008F6747">
              <w:t xml:space="preserve">aşvuru dosyasında, </w:t>
            </w:r>
            <w:r w:rsidRPr="00DE4C64">
              <w:rPr>
                <w:b/>
              </w:rPr>
              <w:t xml:space="preserve">1 (bir) </w:t>
            </w:r>
            <w:r w:rsidRPr="008F6747">
              <w:t>yıl süreli, tamamen ve kısmen nakde çevrilebilir nitelikt</w:t>
            </w:r>
            <w:r w:rsidRPr="0075488A">
              <w:t xml:space="preserve">e </w:t>
            </w:r>
            <w:r w:rsidRPr="00D31CFB">
              <w:rPr>
                <w:b/>
              </w:rPr>
              <w:t>10.000.000 (</w:t>
            </w:r>
            <w:proofErr w:type="spellStart"/>
            <w:r w:rsidRPr="00D31CFB">
              <w:rPr>
                <w:b/>
              </w:rPr>
              <w:t>onmilyon</w:t>
            </w:r>
            <w:proofErr w:type="spellEnd"/>
            <w:r w:rsidRPr="00D31CFB">
              <w:rPr>
                <w:b/>
              </w:rPr>
              <w:t>) ABD Doları</w:t>
            </w:r>
            <w:r w:rsidRPr="0075488A">
              <w:rPr>
                <w:b/>
              </w:rPr>
              <w:t xml:space="preserve"> </w:t>
            </w:r>
            <w:r w:rsidRPr="0075488A">
              <w:t>tutarındaki teminat mektubu bulundurulur.</w:t>
            </w:r>
          </w:p>
          <w:p w:rsidR="002E17CE" w:rsidRDefault="002E17CE" w:rsidP="002E17CE">
            <w:pPr>
              <w:spacing w:line="276" w:lineRule="auto"/>
              <w:jc w:val="both"/>
            </w:pPr>
            <w:r w:rsidRPr="0075488A">
              <w:t>Yarışmayı kazanan</w:t>
            </w:r>
            <w:r w:rsidRPr="0075488A">
              <w:rPr>
                <w:b/>
              </w:rPr>
              <w:t xml:space="preserve"> </w:t>
            </w:r>
            <w:r w:rsidRPr="0075488A">
              <w:t xml:space="preserve">GES Şirketi, Sözleşmenin imzalanacağı tarihten en geç </w:t>
            </w:r>
            <w:r w:rsidRPr="0075488A">
              <w:rPr>
                <w:b/>
              </w:rPr>
              <w:t xml:space="preserve">1 (bir) </w:t>
            </w:r>
            <w:r w:rsidRPr="0075488A">
              <w:t xml:space="preserve">gün öncesine kadar </w:t>
            </w:r>
            <w:r w:rsidRPr="0075488A">
              <w:rPr>
                <w:b/>
              </w:rPr>
              <w:t xml:space="preserve">5 (beş) </w:t>
            </w:r>
            <w:r w:rsidRPr="0075488A">
              <w:t xml:space="preserve">yıl süreli, tamamen ve kısmen nakde çevrilebilir nitelikte </w:t>
            </w:r>
            <w:r w:rsidRPr="00D31CFB">
              <w:rPr>
                <w:b/>
              </w:rPr>
              <w:t>50.000.000 (</w:t>
            </w:r>
            <w:proofErr w:type="spellStart"/>
            <w:r w:rsidRPr="00D31CFB">
              <w:rPr>
                <w:b/>
              </w:rPr>
              <w:t>ellimilyon</w:t>
            </w:r>
            <w:proofErr w:type="spellEnd"/>
            <w:r w:rsidRPr="00D31CFB">
              <w:rPr>
                <w:b/>
              </w:rPr>
              <w:t>)</w:t>
            </w:r>
            <w:r w:rsidRPr="00DE4C64">
              <w:rPr>
                <w:b/>
              </w:rPr>
              <w:t xml:space="preserve"> ABD Doları </w:t>
            </w:r>
            <w:r w:rsidRPr="008F6747">
              <w:t xml:space="preserve">tutarında düzenlenmiş teminat mektubunu Bakanlığa sunar. </w:t>
            </w:r>
            <w:r w:rsidR="0075488A">
              <w:t xml:space="preserve"> </w:t>
            </w:r>
          </w:p>
          <w:p w:rsidR="00083728" w:rsidRDefault="00083728" w:rsidP="002E17CE">
            <w:pPr>
              <w:spacing w:line="276" w:lineRule="auto"/>
              <w:jc w:val="both"/>
            </w:pPr>
          </w:p>
          <w:p w:rsidR="0075488A" w:rsidRDefault="00083728" w:rsidP="002E17CE">
            <w:pPr>
              <w:spacing w:line="276" w:lineRule="auto"/>
              <w:jc w:val="both"/>
            </w:pPr>
            <w:proofErr w:type="spellStart"/>
            <w:proofErr w:type="gramStart"/>
            <w:r w:rsidRPr="005D2105">
              <w:rPr>
                <w:rFonts w:eastAsia="Calibri"/>
                <w:lang w:eastAsia="ar-SA"/>
              </w:rPr>
              <w:t>GES’lerin</w:t>
            </w:r>
            <w:proofErr w:type="spellEnd"/>
            <w:r w:rsidRPr="005D2105">
              <w:rPr>
                <w:rFonts w:eastAsia="Calibri"/>
                <w:lang w:eastAsia="ar-SA"/>
              </w:rPr>
              <w:t xml:space="preserve">, Sözleşme ve eklerine uygun olarak ilgili </w:t>
            </w:r>
            <w:proofErr w:type="spellStart"/>
            <w:r w:rsidRPr="005D2105">
              <w:rPr>
                <w:rFonts w:eastAsia="Calibri"/>
                <w:lang w:eastAsia="ar-SA"/>
              </w:rPr>
              <w:t>YEKA’larda</w:t>
            </w:r>
            <w:proofErr w:type="spellEnd"/>
            <w:r w:rsidRPr="005D2105">
              <w:rPr>
                <w:rFonts w:eastAsia="Calibri"/>
                <w:lang w:eastAsia="ar-SA"/>
              </w:rPr>
              <w:t xml:space="preserve"> kurulum</w:t>
            </w:r>
            <w:r>
              <w:rPr>
                <w:rFonts w:eastAsia="Calibri"/>
                <w:lang w:eastAsia="ar-SA"/>
              </w:rPr>
              <w:t xml:space="preserve">unun </w:t>
            </w:r>
            <w:r>
              <w:rPr>
                <w:rFonts w:eastAsia="Calibri"/>
                <w:lang w:eastAsia="ar-SA"/>
              </w:rPr>
              <w:lastRenderedPageBreak/>
              <w:t>gerçekleştirilmesi ve kısmen veya tamamen</w:t>
            </w:r>
            <w:r w:rsidRPr="005D2105">
              <w:rPr>
                <w:rFonts w:eastAsia="Calibri"/>
                <w:lang w:eastAsia="ar-SA"/>
              </w:rPr>
              <w:t xml:space="preserve"> işletmeye alınması durumunda varsa cezai şartları, hukuki riskleri ve tazmin durumu, tamamlanan kapasitenin toplam kapasiteye oranı göz önünde bulundurularak kalan teminat tutarı, GES Şirketine ilgili </w:t>
            </w:r>
            <w:proofErr w:type="spellStart"/>
            <w:r w:rsidRPr="005D2105">
              <w:rPr>
                <w:rFonts w:eastAsia="Calibri"/>
                <w:lang w:eastAsia="ar-SA"/>
              </w:rPr>
              <w:t>GES’lerin</w:t>
            </w:r>
            <w:proofErr w:type="spellEnd"/>
            <w:r w:rsidRPr="005D2105">
              <w:rPr>
                <w:rFonts w:eastAsia="Calibri"/>
                <w:lang w:eastAsia="ar-SA"/>
              </w:rPr>
              <w:t xml:space="preserve"> geçici kabulünün yapıldığı tarihten itibaren </w:t>
            </w:r>
            <w:r w:rsidRPr="005D2105">
              <w:rPr>
                <w:rFonts w:eastAsia="Calibri"/>
                <w:b/>
                <w:lang w:eastAsia="ar-SA"/>
              </w:rPr>
              <w:t xml:space="preserve">2 (iki) </w:t>
            </w:r>
            <w:r w:rsidRPr="005D2105">
              <w:rPr>
                <w:rFonts w:eastAsia="Calibri"/>
                <w:lang w:eastAsia="ar-SA"/>
              </w:rPr>
              <w:t>ay</w:t>
            </w:r>
            <w:r w:rsidRPr="005D2105">
              <w:rPr>
                <w:rFonts w:eastAsia="Calibri"/>
                <w:b/>
                <w:lang w:eastAsia="ar-SA"/>
              </w:rPr>
              <w:t xml:space="preserve"> </w:t>
            </w:r>
            <w:r w:rsidRPr="005D2105">
              <w:rPr>
                <w:rFonts w:eastAsia="Calibri"/>
                <w:lang w:eastAsia="ar-SA"/>
              </w:rPr>
              <w:t>içerisinde iade edilir.</w:t>
            </w:r>
            <w:r>
              <w:rPr>
                <w:rFonts w:eastAsia="Calibri"/>
                <w:lang w:eastAsia="ar-SA"/>
              </w:rPr>
              <w:t xml:space="preserve"> </w:t>
            </w:r>
            <w:proofErr w:type="gramEnd"/>
          </w:p>
          <w:p w:rsidR="002E17CE" w:rsidRDefault="002E17CE" w:rsidP="002E17CE">
            <w:pPr>
              <w:suppressAutoHyphens/>
              <w:spacing w:before="120" w:after="120" w:line="276" w:lineRule="auto"/>
              <w:jc w:val="both"/>
            </w:pPr>
            <w:r w:rsidRPr="008F6747">
              <w:rPr>
                <w:rFonts w:eastAsia="Calibri"/>
                <w:lang w:eastAsia="ar-SA"/>
              </w:rPr>
              <w:t xml:space="preserve">GES Şirketi, </w:t>
            </w:r>
            <w:proofErr w:type="spellStart"/>
            <w:r w:rsidRPr="008F6747">
              <w:rPr>
                <w:rFonts w:eastAsia="Calibri"/>
                <w:lang w:eastAsia="ar-SA"/>
              </w:rPr>
              <w:t>EDS’nin</w:t>
            </w:r>
            <w:proofErr w:type="spellEnd"/>
            <w:r w:rsidRPr="008F6747">
              <w:rPr>
                <w:rFonts w:eastAsia="Calibri"/>
                <w:lang w:eastAsia="ar-SA"/>
              </w:rPr>
              <w:t xml:space="preserve"> işletilmesine dair </w:t>
            </w:r>
            <w:r w:rsidRPr="00D31CFB">
              <w:rPr>
                <w:b/>
              </w:rPr>
              <w:t>15 (</w:t>
            </w:r>
            <w:proofErr w:type="spellStart"/>
            <w:r w:rsidRPr="00D31CFB">
              <w:rPr>
                <w:b/>
              </w:rPr>
              <w:t>onbeş</w:t>
            </w:r>
            <w:proofErr w:type="spellEnd"/>
            <w:r w:rsidRPr="00D31CFB">
              <w:rPr>
                <w:b/>
              </w:rPr>
              <w:t>) yıl</w:t>
            </w:r>
            <w:r w:rsidRPr="0075488A">
              <w:t xml:space="preserve"> süreli, tamamen ve kısmen nakde çevrilebilir, </w:t>
            </w:r>
            <w:r w:rsidRPr="00D31CFB">
              <w:rPr>
                <w:b/>
              </w:rPr>
              <w:t>1.000.000 (</w:t>
            </w:r>
            <w:proofErr w:type="spellStart"/>
            <w:r w:rsidRPr="00D31CFB">
              <w:rPr>
                <w:b/>
              </w:rPr>
              <w:t>birmilyon</w:t>
            </w:r>
            <w:proofErr w:type="spellEnd"/>
            <w:r w:rsidRPr="00D31CFB">
              <w:rPr>
                <w:b/>
              </w:rPr>
              <w:t>) ABD Doları</w:t>
            </w:r>
            <w:r w:rsidRPr="0075488A">
              <w:rPr>
                <w:b/>
              </w:rPr>
              <w:t xml:space="preserve"> </w:t>
            </w:r>
            <w:r w:rsidRPr="0075488A">
              <w:t>tutarında</w:t>
            </w:r>
            <w:r w:rsidRPr="008F6747">
              <w:t xml:space="preserve"> düzenlenmiş teminat mektubunu </w:t>
            </w:r>
            <w:proofErr w:type="spellStart"/>
            <w:r w:rsidRPr="008F6747">
              <w:t>EDS’li</w:t>
            </w:r>
            <w:proofErr w:type="spellEnd"/>
            <w:r w:rsidRPr="008F6747">
              <w:t xml:space="preserve"> </w:t>
            </w:r>
            <w:proofErr w:type="spellStart"/>
            <w:r w:rsidRPr="008F6747">
              <w:t>GES’in</w:t>
            </w:r>
            <w:proofErr w:type="spellEnd"/>
            <w:r w:rsidRPr="008F6747">
              <w:t xml:space="preserve"> geçici kabul tarihinden en geç </w:t>
            </w:r>
            <w:r w:rsidRPr="008F6747">
              <w:rPr>
                <w:b/>
              </w:rPr>
              <w:t>1 (bir) ay</w:t>
            </w:r>
            <w:r w:rsidRPr="008F6747">
              <w:t xml:space="preserve"> öncesine kadar Bakanlığa sunar.</w:t>
            </w:r>
          </w:p>
          <w:p w:rsidR="00374763" w:rsidRPr="002E17CE" w:rsidRDefault="002E17CE" w:rsidP="002E17CE">
            <w:pPr>
              <w:suppressAutoHyphens/>
              <w:spacing w:before="120" w:line="276" w:lineRule="auto"/>
              <w:jc w:val="both"/>
            </w:pPr>
            <w:r w:rsidRPr="008F6747">
              <w:t>Şartnamede belirtilen şartları sağlamak kaydıyla birden çok teminat mektubu sunulabilir.</w:t>
            </w:r>
          </w:p>
        </w:tc>
        <w:tc>
          <w:tcPr>
            <w:tcW w:w="5352" w:type="dxa"/>
          </w:tcPr>
          <w:p w:rsidR="002343D2" w:rsidRDefault="002343D2" w:rsidP="00703F97">
            <w:pPr>
              <w:spacing w:line="276" w:lineRule="auto"/>
              <w:rPr>
                <w:b/>
                <w:bCs/>
                <w:color w:val="000000"/>
                <w:lang w:val="en-US"/>
              </w:rPr>
            </w:pPr>
          </w:p>
        </w:tc>
      </w:tr>
      <w:tr w:rsidR="002E17CE" w:rsidTr="00703F97">
        <w:tc>
          <w:tcPr>
            <w:tcW w:w="8642" w:type="dxa"/>
          </w:tcPr>
          <w:p w:rsidR="00374763" w:rsidRPr="00DE4C64" w:rsidRDefault="00374763" w:rsidP="00374763">
            <w:pPr>
              <w:spacing w:line="276" w:lineRule="auto"/>
              <w:rPr>
                <w:rFonts w:eastAsiaTheme="minorHAnsi"/>
                <w:b/>
                <w:u w:val="single"/>
              </w:rPr>
            </w:pPr>
            <w:r w:rsidRPr="00DE4C64">
              <w:rPr>
                <w:b/>
                <w:u w:val="single"/>
              </w:rPr>
              <w:lastRenderedPageBreak/>
              <w:t>Sözleşmenin Devri:</w:t>
            </w:r>
          </w:p>
          <w:p w:rsidR="00374763" w:rsidRPr="00DE4C64" w:rsidRDefault="00374763" w:rsidP="00374763">
            <w:pPr>
              <w:spacing w:line="276" w:lineRule="auto"/>
              <w:jc w:val="both"/>
              <w:rPr>
                <w:sz w:val="6"/>
                <w:szCs w:val="6"/>
              </w:rPr>
            </w:pPr>
          </w:p>
          <w:p w:rsidR="00374763" w:rsidRPr="008F6747" w:rsidRDefault="00374763" w:rsidP="00374763">
            <w:pPr>
              <w:spacing w:after="240" w:line="276" w:lineRule="auto"/>
              <w:jc w:val="both"/>
            </w:pPr>
            <w:proofErr w:type="spellStart"/>
            <w:r w:rsidRPr="008F6747">
              <w:t>GES’lerin</w:t>
            </w:r>
            <w:proofErr w:type="spellEnd"/>
            <w:r w:rsidRPr="008F6747">
              <w:t xml:space="preserve"> tamamı işletmeye alınıncaya kadar Sözleşme, aynı hak ve yükümlülüklerle, Şartnamede belirtilen koşulları sağlamak kaydıyla Bakanlık Onayıyla Üçüncü </w:t>
            </w:r>
            <w:proofErr w:type="spellStart"/>
            <w:r w:rsidRPr="008F6747">
              <w:t>Kişi’lere</w:t>
            </w:r>
            <w:proofErr w:type="spellEnd"/>
            <w:r w:rsidRPr="008F6747">
              <w:t xml:space="preserve"> imzalanacak devir sözleşmesi ile kısmen veya tamamen devredilebilir. </w:t>
            </w:r>
          </w:p>
          <w:p w:rsidR="00374763" w:rsidRPr="008F6747" w:rsidRDefault="00374763" w:rsidP="00374763">
            <w:pPr>
              <w:spacing w:after="240" w:line="276" w:lineRule="auto"/>
              <w:jc w:val="both"/>
            </w:pPr>
            <w:proofErr w:type="spellStart"/>
            <w:r w:rsidRPr="008F6747">
              <w:t>GES’lerin</w:t>
            </w:r>
            <w:proofErr w:type="spellEnd"/>
            <w:r w:rsidRPr="008F6747">
              <w:t xml:space="preserve"> tamamı işletmeye alındıktan sonra Sözleşme, aynı hak ve yükümlülüklerle, Şartnamede belirtilen koşulları sağlamak kaydıyla Bakanlığa bildirimde bulunmak kaydıyla Üçüncü </w:t>
            </w:r>
            <w:proofErr w:type="spellStart"/>
            <w:r w:rsidRPr="008F6747">
              <w:t>Kişi’lere</w:t>
            </w:r>
            <w:proofErr w:type="spellEnd"/>
            <w:r w:rsidRPr="008F6747">
              <w:t xml:space="preserve"> imzalanacak devir sözleşmesi ile kısmen veya tamamen devredilebilir.</w:t>
            </w:r>
          </w:p>
          <w:p w:rsidR="00374763" w:rsidRPr="00F33391" w:rsidRDefault="00374763" w:rsidP="00374763">
            <w:pPr>
              <w:spacing w:line="276" w:lineRule="auto"/>
              <w:jc w:val="both"/>
            </w:pPr>
            <w:r w:rsidRPr="008F6747">
              <w:t xml:space="preserve">Konsorsiyumlarda GES Şirketi haricindeki Konsorsiyum ortakları ilgili sorumluluklarını Yarışma dokümanlarına uygun olarak yerine getirmeleri ve Bakanlık ile GES Şirketinin onaylarını almak kaydıyla Konsorsiyum ortaklığından çıkabilir. Bu durumda, çıkan Konsorsiyum ortağının kendi iş ve işlemleri nedeniyle ortaya çıkabilecek zararlardan doğan sorumlulukları saklı kalmak kaydıyla </w:t>
            </w:r>
            <w:proofErr w:type="spellStart"/>
            <w:r w:rsidRPr="008F6747">
              <w:t>Sözleşme’den</w:t>
            </w:r>
            <w:proofErr w:type="spellEnd"/>
            <w:r w:rsidRPr="008F6747">
              <w:t xml:space="preserve"> doğan sorumlulukları sona erer. Bu durum İş’in bütününe dair GES Şirketi’nin müşterek ve müteselsil sorumluluğunu ortadan kaldırmaz.</w:t>
            </w:r>
          </w:p>
        </w:tc>
        <w:tc>
          <w:tcPr>
            <w:tcW w:w="5352" w:type="dxa"/>
          </w:tcPr>
          <w:p w:rsidR="002E17CE" w:rsidRDefault="002E17CE" w:rsidP="00703F97">
            <w:pPr>
              <w:spacing w:line="276" w:lineRule="auto"/>
              <w:rPr>
                <w:b/>
                <w:bCs/>
                <w:color w:val="000000"/>
                <w:lang w:val="en-US"/>
              </w:rPr>
            </w:pPr>
          </w:p>
        </w:tc>
      </w:tr>
      <w:tr w:rsidR="00374763" w:rsidTr="00703F97">
        <w:tc>
          <w:tcPr>
            <w:tcW w:w="8642" w:type="dxa"/>
          </w:tcPr>
          <w:p w:rsidR="00374763" w:rsidRDefault="00374763" w:rsidP="00374763">
            <w:pPr>
              <w:spacing w:after="240" w:line="276" w:lineRule="auto"/>
              <w:rPr>
                <w:b/>
                <w:u w:val="single"/>
              </w:rPr>
            </w:pPr>
            <w:r w:rsidRPr="00374763">
              <w:rPr>
                <w:b/>
                <w:u w:val="single"/>
              </w:rPr>
              <w:lastRenderedPageBreak/>
              <w:t>Pay Devri</w:t>
            </w:r>
            <w:r>
              <w:rPr>
                <w:b/>
                <w:u w:val="single"/>
              </w:rPr>
              <w:t>:</w:t>
            </w:r>
          </w:p>
          <w:p w:rsidR="00374763" w:rsidRDefault="00374763" w:rsidP="00374763">
            <w:pPr>
              <w:spacing w:after="240" w:line="276" w:lineRule="auto"/>
              <w:jc w:val="both"/>
            </w:pPr>
            <w:r w:rsidRPr="008F6747">
              <w:t xml:space="preserve">GES Şirketi, Sözleşme imza tarihinden sonra paylarının tamamı kendisine ait olmak üzere her bir YEKA için 1 (bir) adet bağlı GES Şirketi kurabilir ve bağlı GES Şirketleri </w:t>
            </w:r>
            <w:proofErr w:type="spellStart"/>
            <w:r w:rsidRPr="008F6747">
              <w:t>Önlisansa</w:t>
            </w:r>
            <w:proofErr w:type="spellEnd"/>
            <w:r w:rsidRPr="008F6747">
              <w:t xml:space="preserve"> müracaat edebilir. Bağlı GES Şirketi/Şirketlerinin kurulması durumunda, Bakanlık ile bağlı GES Şirketleri “Sözleşmeye katılma protokolü” imzalar. GES Şirketi, bağlı GES Şirketlerinin Sözleşmeden doğan yükümlülüklerinden müştereken ve </w:t>
            </w:r>
            <w:proofErr w:type="spellStart"/>
            <w:r w:rsidRPr="008F6747">
              <w:t>müteselsilen</w:t>
            </w:r>
            <w:proofErr w:type="spellEnd"/>
            <w:r w:rsidRPr="008F6747">
              <w:t xml:space="preserve"> sorumludur. </w:t>
            </w:r>
          </w:p>
          <w:p w:rsidR="00374763" w:rsidRPr="008F6747" w:rsidRDefault="00374763" w:rsidP="00374763">
            <w:pPr>
              <w:spacing w:line="276" w:lineRule="auto"/>
              <w:jc w:val="both"/>
            </w:pPr>
            <w:r w:rsidRPr="008F6747">
              <w:t xml:space="preserve">GES Şirketi veya bağlı GES Şirketleri, </w:t>
            </w:r>
            <w:proofErr w:type="spellStart"/>
            <w:r w:rsidRPr="008F6747">
              <w:t>GES’lerin</w:t>
            </w:r>
            <w:proofErr w:type="spellEnd"/>
            <w:r w:rsidRPr="008F6747">
              <w:t xml:space="preserve"> tamamı işletmeye alınmadan önce aşağıdaki şartlar ile pay devri yapabilir:</w:t>
            </w:r>
          </w:p>
          <w:p w:rsidR="00374763" w:rsidRPr="008F6747" w:rsidRDefault="00374763" w:rsidP="00374763">
            <w:pPr>
              <w:spacing w:line="276" w:lineRule="auto"/>
              <w:jc w:val="both"/>
            </w:pPr>
            <w:r w:rsidRPr="008F6747">
              <w:rPr>
                <w:b/>
                <w:bCs/>
              </w:rPr>
              <w:t xml:space="preserve">    - </w:t>
            </w:r>
            <w:r w:rsidRPr="008F6747">
              <w:t>GES Şirketi veya bağlı GES Şirketleri’ndeki pay devirleri Bakanlık onayına tabidir.</w:t>
            </w:r>
          </w:p>
          <w:p w:rsidR="00374763" w:rsidRPr="008F6747" w:rsidRDefault="00374763" w:rsidP="00374763">
            <w:pPr>
              <w:spacing w:line="276" w:lineRule="auto"/>
              <w:jc w:val="both"/>
            </w:pPr>
            <w:r w:rsidRPr="008F6747">
              <w:rPr>
                <w:b/>
                <w:bCs/>
              </w:rPr>
              <w:t xml:space="preserve">    </w:t>
            </w:r>
            <w:r w:rsidRPr="008F6747">
              <w:rPr>
                <w:b/>
              </w:rPr>
              <w:t>-</w:t>
            </w:r>
            <w:r w:rsidRPr="008F6747">
              <w:t xml:space="preserve"> Pay devri sonucu mali yeterlilik şartlarının sağlanması zorunludur. </w:t>
            </w:r>
          </w:p>
          <w:p w:rsidR="00374763" w:rsidRDefault="00374763" w:rsidP="00374763">
            <w:pPr>
              <w:spacing w:after="240" w:line="276" w:lineRule="auto"/>
              <w:jc w:val="both"/>
            </w:pPr>
            <w:r w:rsidRPr="008F6747">
              <w:rPr>
                <w:b/>
                <w:bCs/>
              </w:rPr>
              <w:t xml:space="preserve">    - </w:t>
            </w:r>
            <w:r w:rsidRPr="008F6747">
              <w:rPr>
                <w:bCs/>
              </w:rPr>
              <w:t>M</w:t>
            </w:r>
            <w:r w:rsidRPr="008F6747">
              <w:t xml:space="preserve">ali yeterlilik koşullarından, birincisinin devir tarihinden önceki </w:t>
            </w:r>
            <w:r w:rsidRPr="008F6747">
              <w:rPr>
                <w:b/>
              </w:rPr>
              <w:t xml:space="preserve">3 (üç) </w:t>
            </w:r>
            <w:r w:rsidRPr="008F6747">
              <w:t>yıl</w:t>
            </w:r>
            <w:r w:rsidRPr="008F6747">
              <w:rPr>
                <w:b/>
                <w:bCs/>
              </w:rPr>
              <w:t xml:space="preserve"> </w:t>
            </w:r>
            <w:r w:rsidRPr="008F6747">
              <w:t xml:space="preserve">için veya ikincisinin devir tarihinden önceki yıl için oransal olarak sağlanması zorunludur. </w:t>
            </w:r>
            <w:r w:rsidRPr="008F6747">
              <w:rPr>
                <w:b/>
                <w:bCs/>
              </w:rPr>
              <w:t xml:space="preserve"> </w:t>
            </w:r>
            <w:r w:rsidRPr="008F6747">
              <w:t>Oransal hesaplamada, devre tabi olan GES Şirketi veya bağlı GES Şirketleri için tahsis edilen Bağlantı Kapasitesinin Sözleşme kapsamında tahsis edilen toplam Bağlantı Kapasitesine oranı dikkate alınır.</w:t>
            </w:r>
          </w:p>
          <w:p w:rsidR="00374763" w:rsidRPr="00374763" w:rsidRDefault="00374763" w:rsidP="00374763">
            <w:pPr>
              <w:spacing w:line="276" w:lineRule="auto"/>
              <w:jc w:val="both"/>
            </w:pPr>
            <w:r w:rsidRPr="008F6747">
              <w:t xml:space="preserve">GES Şirketi veya bağlı GES Şirketleri, </w:t>
            </w:r>
            <w:proofErr w:type="spellStart"/>
            <w:r w:rsidRPr="008F6747">
              <w:t>GES’lerin</w:t>
            </w:r>
            <w:proofErr w:type="spellEnd"/>
            <w:r w:rsidRPr="008F6747">
              <w:t xml:space="preserve"> tamamı işletmeye alındıktan sonra ortaklık yapısını Bakanlığa bildirimde bulunmak kaydıyla değiştirebilir.</w:t>
            </w:r>
            <w:r>
              <w:t xml:space="preserve"> </w:t>
            </w:r>
          </w:p>
        </w:tc>
        <w:tc>
          <w:tcPr>
            <w:tcW w:w="5352" w:type="dxa"/>
          </w:tcPr>
          <w:p w:rsidR="00374763" w:rsidRDefault="00374763" w:rsidP="00703F97">
            <w:pPr>
              <w:spacing w:line="276" w:lineRule="auto"/>
              <w:rPr>
                <w:b/>
                <w:bCs/>
                <w:color w:val="000000"/>
                <w:lang w:val="en-US"/>
              </w:rPr>
            </w:pPr>
          </w:p>
        </w:tc>
      </w:tr>
      <w:tr w:rsidR="00374763" w:rsidTr="00703F97">
        <w:tc>
          <w:tcPr>
            <w:tcW w:w="8642" w:type="dxa"/>
          </w:tcPr>
          <w:p w:rsidR="00DA29A2" w:rsidRDefault="00DA29A2" w:rsidP="00DA29A2">
            <w:pPr>
              <w:spacing w:after="240" w:line="276" w:lineRule="auto"/>
              <w:rPr>
                <w:b/>
                <w:u w:val="single"/>
              </w:rPr>
            </w:pPr>
            <w:r w:rsidRPr="00DA29A2">
              <w:rPr>
                <w:b/>
                <w:u w:val="single"/>
              </w:rPr>
              <w:t xml:space="preserve">Alacak Temliki ve Pay </w:t>
            </w:r>
            <w:proofErr w:type="spellStart"/>
            <w:r w:rsidRPr="00DA29A2">
              <w:rPr>
                <w:b/>
                <w:u w:val="single"/>
              </w:rPr>
              <w:t>Rehni</w:t>
            </w:r>
            <w:proofErr w:type="spellEnd"/>
            <w:r w:rsidRPr="00DA29A2">
              <w:rPr>
                <w:b/>
                <w:u w:val="single"/>
              </w:rPr>
              <w:t>:</w:t>
            </w:r>
          </w:p>
          <w:p w:rsidR="00DA29A2" w:rsidRPr="00DA29A2" w:rsidRDefault="00DA29A2" w:rsidP="00DA29A2">
            <w:pPr>
              <w:jc w:val="both"/>
            </w:pPr>
            <w:r w:rsidRPr="00DA29A2">
              <w:t xml:space="preserve">GES Şirketi, Sözleşmeden doğan alacaklarını Bakanlık Onayıyla Üçüncü </w:t>
            </w:r>
            <w:proofErr w:type="spellStart"/>
            <w:r w:rsidRPr="00DA29A2">
              <w:t>Kişi’lere</w:t>
            </w:r>
            <w:proofErr w:type="spellEnd"/>
            <w:r w:rsidRPr="00DA29A2">
              <w:t xml:space="preserve"> devredebilir.</w:t>
            </w:r>
          </w:p>
          <w:p w:rsidR="00DA29A2" w:rsidRDefault="00DA29A2" w:rsidP="00DA29A2">
            <w:pPr>
              <w:jc w:val="both"/>
            </w:pPr>
            <w:r w:rsidRPr="00DA29A2">
              <w:t xml:space="preserve">GES Şirketi veya bağlı GES Şirketlerinin payları Bakanlık Onayıyla Üçüncü </w:t>
            </w:r>
            <w:proofErr w:type="spellStart"/>
            <w:r w:rsidRPr="00DA29A2">
              <w:t>Kişi’lere</w:t>
            </w:r>
            <w:proofErr w:type="spellEnd"/>
            <w:r w:rsidRPr="00DA29A2">
              <w:t xml:space="preserve"> rehin edilebilir.</w:t>
            </w:r>
          </w:p>
          <w:p w:rsidR="00DA29A2" w:rsidRDefault="00DA29A2" w:rsidP="00DA29A2">
            <w:pPr>
              <w:jc w:val="both"/>
            </w:pPr>
            <w:r w:rsidRPr="00DA29A2">
              <w:t xml:space="preserve">Kredi veren, Elektrik Piyasası Lisans Yönetmeliği’nin 5. maddesinin üçüncü fıkrasının (ç) bendi kapsamında, şartların oluşması halinde Lisans sahibinin yerine bir başka tüzel </w:t>
            </w:r>
            <w:r w:rsidRPr="00DA29A2">
              <w:lastRenderedPageBreak/>
              <w:t>kişi önermek için EPDK’ya ve Genel Müdürlüğe başvurabilir.</w:t>
            </w:r>
          </w:p>
          <w:p w:rsidR="00374763" w:rsidRPr="00DA29A2" w:rsidRDefault="00DA29A2" w:rsidP="00DA29A2">
            <w:pPr>
              <w:jc w:val="both"/>
            </w:pPr>
            <w:r w:rsidRPr="00CD4213">
              <w:t>İş’in kredi veren tarafından finanse edilecek olması ve kredi verenin Lisans aşamasından önce Sözleşmeye müdahillik talep etmesi halinde, İdare’ye herhangi bir mali yükümlülük getirmemek şartıyla, kredi veren ile taraflar arasında doğrudan sözleşme imzalanabilir.</w:t>
            </w:r>
          </w:p>
        </w:tc>
        <w:tc>
          <w:tcPr>
            <w:tcW w:w="5352" w:type="dxa"/>
          </w:tcPr>
          <w:p w:rsidR="00374763" w:rsidRDefault="00374763" w:rsidP="00703F97">
            <w:pPr>
              <w:spacing w:line="276" w:lineRule="auto"/>
              <w:rPr>
                <w:b/>
                <w:bCs/>
                <w:color w:val="000000"/>
                <w:lang w:val="en-US"/>
              </w:rPr>
            </w:pPr>
          </w:p>
        </w:tc>
      </w:tr>
    </w:tbl>
    <w:p w:rsidR="00703F97" w:rsidRPr="008F6747" w:rsidRDefault="00703F97" w:rsidP="00703F97">
      <w:pPr>
        <w:spacing w:line="276" w:lineRule="auto"/>
        <w:rPr>
          <w:b/>
          <w:bCs/>
          <w:color w:val="000000"/>
          <w:lang w:val="en-US"/>
        </w:rPr>
      </w:pPr>
    </w:p>
    <w:p w:rsidR="000957EF" w:rsidRPr="00E25792" w:rsidRDefault="00DA29A2" w:rsidP="00DA29A2">
      <w:pPr>
        <w:spacing w:line="276" w:lineRule="auto"/>
      </w:pPr>
      <w:r>
        <w:rPr>
          <w:b/>
          <w:bCs/>
        </w:rPr>
        <w:t>İLAVE GÖRÜŞLER VE TALEPLER</w:t>
      </w:r>
      <w:r w:rsidR="0075488A">
        <w:rPr>
          <w:b/>
          <w:bCs/>
        </w:rPr>
        <w:t xml:space="preserve"> (özet halinde)</w:t>
      </w:r>
      <w:r>
        <w:rPr>
          <w:b/>
          <w:bCs/>
        </w:rPr>
        <w:t>:</w:t>
      </w:r>
    </w:p>
    <w:sectPr w:rsidR="000957EF" w:rsidRPr="00E25792" w:rsidSect="00E2579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D0CA6"/>
    <w:multiLevelType w:val="hybridMultilevel"/>
    <w:tmpl w:val="4F54D644"/>
    <w:lvl w:ilvl="0" w:tplc="EF88B2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6ADC532F"/>
    <w:multiLevelType w:val="hybridMultilevel"/>
    <w:tmpl w:val="CF4067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6D772E3"/>
    <w:multiLevelType w:val="hybridMultilevel"/>
    <w:tmpl w:val="BCAC9E84"/>
    <w:lvl w:ilvl="0" w:tplc="A1D042E6">
      <w:start w:val="5"/>
      <w:numFmt w:val="bullet"/>
      <w:lvlText w:val="-"/>
      <w:lvlJc w:val="left"/>
      <w:pPr>
        <w:ind w:left="1428" w:hanging="360"/>
      </w:pPr>
      <w:rPr>
        <w:rFonts w:ascii="Times New Roman" w:eastAsia="Calibri"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AB3"/>
    <w:rsid w:val="00083728"/>
    <w:rsid w:val="000957EF"/>
    <w:rsid w:val="00134B13"/>
    <w:rsid w:val="001514FE"/>
    <w:rsid w:val="00171413"/>
    <w:rsid w:val="002343D2"/>
    <w:rsid w:val="002832ED"/>
    <w:rsid w:val="002C71BC"/>
    <w:rsid w:val="002E17CE"/>
    <w:rsid w:val="00374763"/>
    <w:rsid w:val="003D4AB3"/>
    <w:rsid w:val="004D305F"/>
    <w:rsid w:val="006561BB"/>
    <w:rsid w:val="00703F97"/>
    <w:rsid w:val="0075488A"/>
    <w:rsid w:val="008778FA"/>
    <w:rsid w:val="00BD15E9"/>
    <w:rsid w:val="00D31CFB"/>
    <w:rsid w:val="00DA29A2"/>
    <w:rsid w:val="00E25792"/>
    <w:rsid w:val="00EC5162"/>
    <w:rsid w:val="00F333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FD00F7-AEC1-4AFE-AD5A-3C9AD0E1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F97"/>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semiHidden/>
    <w:unhideWhenUsed/>
    <w:qFormat/>
    <w:rsid w:val="006561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703F97"/>
    <w:pPr>
      <w:keepNext/>
      <w:keepLines/>
      <w:spacing w:before="200"/>
      <w:outlineLvl w:val="2"/>
    </w:pPr>
    <w:rPr>
      <w:rFonts w:eastAsiaTheme="majorEastAsia" w:cstheme="majorBid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03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03F97"/>
    <w:pPr>
      <w:spacing w:after="200" w:line="276" w:lineRule="auto"/>
      <w:ind w:left="720"/>
    </w:pPr>
    <w:rPr>
      <w:rFonts w:ascii="Calibri" w:eastAsia="Calibri" w:hAnsi="Calibri" w:cs="Calibri"/>
      <w:sz w:val="22"/>
      <w:szCs w:val="22"/>
      <w:lang w:eastAsia="en-US"/>
    </w:rPr>
  </w:style>
  <w:style w:type="character" w:customStyle="1" w:styleId="Balk3Char">
    <w:name w:val="Başlık 3 Char"/>
    <w:basedOn w:val="VarsaylanParagrafYazTipi"/>
    <w:link w:val="Balk3"/>
    <w:uiPriority w:val="9"/>
    <w:rsid w:val="00703F97"/>
    <w:rPr>
      <w:rFonts w:ascii="Times New Roman" w:eastAsiaTheme="majorEastAsia" w:hAnsi="Times New Roman" w:cstheme="majorBidi"/>
      <w:b/>
      <w:bCs/>
      <w:sz w:val="24"/>
      <w:szCs w:val="24"/>
      <w:lang w:eastAsia="tr-TR"/>
    </w:rPr>
  </w:style>
  <w:style w:type="character" w:customStyle="1" w:styleId="Balk2Char">
    <w:name w:val="Başlık 2 Char"/>
    <w:basedOn w:val="VarsaylanParagrafYazTipi"/>
    <w:link w:val="Balk2"/>
    <w:uiPriority w:val="9"/>
    <w:semiHidden/>
    <w:rsid w:val="006561BB"/>
    <w:rPr>
      <w:rFonts w:asciiTheme="majorHAnsi" w:eastAsiaTheme="majorEastAsia" w:hAnsiTheme="majorHAnsi" w:cstheme="majorBidi"/>
      <w:color w:val="2E74B5"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1241</Words>
  <Characters>7075</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 Burak Tarakcioglu</dc:creator>
  <cp:lastModifiedBy>ozkan celik</cp:lastModifiedBy>
  <cp:revision>3</cp:revision>
  <dcterms:created xsi:type="dcterms:W3CDTF">2018-09-18T13:51:00Z</dcterms:created>
  <dcterms:modified xsi:type="dcterms:W3CDTF">2018-09-18T15:20:00Z</dcterms:modified>
</cp:coreProperties>
</file>